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695" w:rsidRPr="001D5695" w:rsidRDefault="001D5695" w:rsidP="001D5695">
      <w:pPr>
        <w:spacing w:beforeLines="1" w:afterLines="1"/>
        <w:jc w:val="center"/>
        <w:outlineLvl w:val="0"/>
        <w:rPr>
          <w:rFonts w:ascii="Times" w:hAnsi="Times"/>
          <w:b/>
          <w:kern w:val="36"/>
          <w:sz w:val="48"/>
          <w:szCs w:val="20"/>
          <w:lang w:eastAsia="it-IT"/>
        </w:rPr>
      </w:pPr>
      <w:r w:rsidRPr="001D5695">
        <w:rPr>
          <w:rFonts w:ascii="Times" w:hAnsi="Times"/>
          <w:b/>
          <w:kern w:val="36"/>
          <w:sz w:val="48"/>
          <w:szCs w:val="20"/>
          <w:lang w:eastAsia="it-IT"/>
        </w:rPr>
        <w:t>Articolo 4 bis Legge sull'ordinamento penitenziario</w:t>
      </w:r>
    </w:p>
    <w:p w:rsidR="001D5695" w:rsidRPr="001D5695" w:rsidRDefault="001D5695" w:rsidP="001D5695">
      <w:pPr>
        <w:spacing w:beforeLines="1" w:afterLines="1"/>
        <w:jc w:val="center"/>
        <w:outlineLvl w:val="1"/>
        <w:rPr>
          <w:rFonts w:ascii="Times" w:hAnsi="Times"/>
          <w:b/>
          <w:sz w:val="36"/>
          <w:szCs w:val="20"/>
          <w:lang w:eastAsia="it-IT"/>
        </w:rPr>
      </w:pPr>
      <w:r w:rsidRPr="001D5695">
        <w:rPr>
          <w:rFonts w:ascii="Times" w:hAnsi="Times"/>
          <w:b/>
          <w:sz w:val="36"/>
          <w:szCs w:val="20"/>
          <w:lang w:eastAsia="it-IT"/>
        </w:rPr>
        <w:t>(L. 26 luglio 1975, n. 354)</w:t>
      </w:r>
    </w:p>
    <w:p w:rsidR="001D5695" w:rsidRPr="001D5695" w:rsidRDefault="001D5695" w:rsidP="001D5695">
      <w:pPr>
        <w:jc w:val="center"/>
        <w:rPr>
          <w:rFonts w:ascii="Times" w:hAnsi="Times"/>
          <w:sz w:val="20"/>
          <w:szCs w:val="20"/>
          <w:lang w:eastAsia="it-IT"/>
        </w:rPr>
      </w:pPr>
      <w:r w:rsidRPr="001D5695">
        <w:rPr>
          <w:rFonts w:ascii="Times" w:hAnsi="Times"/>
          <w:sz w:val="15"/>
          <w:szCs w:val="20"/>
          <w:lang w:eastAsia="it-IT"/>
        </w:rPr>
        <w:t>[Aggiornato al 20/03/2025]</w:t>
      </w:r>
    </w:p>
    <w:p w:rsidR="001D5695" w:rsidRPr="001D5695" w:rsidRDefault="001D5695" w:rsidP="001D5695">
      <w:pPr>
        <w:spacing w:beforeLines="1" w:afterLines="1"/>
        <w:jc w:val="center"/>
        <w:outlineLvl w:val="2"/>
        <w:rPr>
          <w:rFonts w:ascii="Times" w:hAnsi="Times"/>
          <w:b/>
          <w:sz w:val="27"/>
          <w:szCs w:val="20"/>
          <w:lang w:eastAsia="it-IT"/>
        </w:rPr>
      </w:pPr>
      <w:r w:rsidRPr="001D5695">
        <w:rPr>
          <w:rFonts w:ascii="Times" w:hAnsi="Times"/>
          <w:b/>
          <w:sz w:val="27"/>
          <w:szCs w:val="20"/>
          <w:lang w:eastAsia="it-IT"/>
        </w:rPr>
        <w:t>Divieto di concessione dei benefici e accertamento della pericolosità sociale dei condannati per taluni delitti</w:t>
      </w:r>
    </w:p>
    <w:p w:rsidR="00495D57" w:rsidRDefault="00495D57" w:rsidP="00495D57">
      <w:pPr>
        <w:pStyle w:val="comma"/>
        <w:spacing w:before="2" w:after="2"/>
        <w:rPr>
          <w:rFonts w:cs="Times New Roman"/>
        </w:rPr>
      </w:pPr>
    </w:p>
    <w:p w:rsidR="00495D57" w:rsidRDefault="00495D57" w:rsidP="00495D57">
      <w:pPr>
        <w:pStyle w:val="comma"/>
        <w:spacing w:before="2" w:after="2"/>
        <w:rPr>
          <w:rFonts w:cs="Times New Roman"/>
        </w:rPr>
      </w:pP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 xml:space="preserve">1. L'assegnazione al lavoro all'esterno, i permessi premio e le </w:t>
      </w:r>
      <w:hyperlink r:id="rId4" w:history="1">
        <w:r w:rsidRPr="001D5695">
          <w:rPr>
            <w:rFonts w:ascii="Times" w:hAnsi="Times" w:cs="Times New Roman"/>
            <w:color w:val="0000FF"/>
            <w:sz w:val="20"/>
            <w:szCs w:val="20"/>
            <w:u w:val="single"/>
            <w:lang w:eastAsia="it-IT"/>
          </w:rPr>
          <w:t>misure alternative alla detenzione</w:t>
        </w:r>
      </w:hyperlink>
      <w:r w:rsidRPr="001D5695">
        <w:rPr>
          <w:rFonts w:ascii="Times" w:hAnsi="Times" w:cs="Times New Roman"/>
          <w:sz w:val="20"/>
          <w:szCs w:val="20"/>
          <w:lang w:eastAsia="it-IT"/>
        </w:rPr>
        <w:t xml:space="preserve"> previste dal capo VI, esclusa la liberazione anticipata, possono essere concessi ai detenuti e internati per i seguenti delitti solo nei casi in cui tali detenuti e internati collaborino con la giustizia a norma dell'articolo </w:t>
      </w:r>
      <w:hyperlink r:id="rId5" w:history="1">
        <w:r w:rsidRPr="001D5695">
          <w:rPr>
            <w:rFonts w:ascii="Times" w:hAnsi="Times" w:cs="Times New Roman"/>
            <w:color w:val="0000FF"/>
            <w:sz w:val="20"/>
            <w:szCs w:val="20"/>
            <w:u w:val="single"/>
            <w:lang w:eastAsia="it-IT"/>
          </w:rPr>
          <w:t>58 ter</w:t>
        </w:r>
      </w:hyperlink>
      <w:r w:rsidRPr="001D5695">
        <w:rPr>
          <w:rFonts w:ascii="Times" w:hAnsi="Times" w:cs="Times New Roman"/>
          <w:sz w:val="20"/>
          <w:szCs w:val="20"/>
          <w:lang w:eastAsia="it-IT"/>
        </w:rPr>
        <w:t xml:space="preserve"> della presente </w:t>
      </w:r>
      <w:hyperlink r:id="rId6" w:history="1">
        <w:r w:rsidRPr="001D5695">
          <w:rPr>
            <w:rFonts w:ascii="Times" w:hAnsi="Times" w:cs="Times New Roman"/>
            <w:color w:val="0000FF"/>
            <w:sz w:val="20"/>
            <w:szCs w:val="20"/>
            <w:u w:val="single"/>
            <w:lang w:eastAsia="it-IT"/>
          </w:rPr>
          <w:t>legge</w:t>
        </w:r>
      </w:hyperlink>
      <w:r w:rsidRPr="001D5695">
        <w:rPr>
          <w:rFonts w:ascii="Times" w:hAnsi="Times" w:cs="Times New Roman"/>
          <w:sz w:val="20"/>
          <w:szCs w:val="20"/>
          <w:lang w:eastAsia="it-IT"/>
        </w:rPr>
        <w:t xml:space="preserve">: delitti commessi per finalità di </w:t>
      </w:r>
      <w:hyperlink r:id="rId7" w:history="1">
        <w:r w:rsidRPr="001D5695">
          <w:rPr>
            <w:rFonts w:ascii="Times" w:hAnsi="Times" w:cs="Times New Roman"/>
            <w:color w:val="0000FF"/>
            <w:sz w:val="20"/>
            <w:szCs w:val="20"/>
            <w:u w:val="single"/>
            <w:lang w:eastAsia="it-IT"/>
          </w:rPr>
          <w:t>terrorismo</w:t>
        </w:r>
      </w:hyperlink>
      <w:r w:rsidRPr="001D5695">
        <w:rPr>
          <w:rFonts w:ascii="Times" w:hAnsi="Times" w:cs="Times New Roman"/>
          <w:sz w:val="20"/>
          <w:szCs w:val="20"/>
          <w:lang w:eastAsia="it-IT"/>
        </w:rPr>
        <w:t xml:space="preserve">, anche internazionale, o di eversione dell'ordine democratico mediante il compimento di </w:t>
      </w:r>
      <w:hyperlink r:id="rId8" w:history="1">
        <w:r w:rsidRPr="001D5695">
          <w:rPr>
            <w:rFonts w:ascii="Times" w:hAnsi="Times" w:cs="Times New Roman"/>
            <w:color w:val="0000FF"/>
            <w:sz w:val="20"/>
            <w:szCs w:val="20"/>
            <w:u w:val="single"/>
            <w:lang w:eastAsia="it-IT"/>
          </w:rPr>
          <w:t>atti di violenza</w:t>
        </w:r>
      </w:hyperlink>
      <w:r w:rsidRPr="001D5695">
        <w:rPr>
          <w:rFonts w:ascii="Times" w:hAnsi="Times" w:cs="Times New Roman"/>
          <w:sz w:val="20"/>
          <w:szCs w:val="20"/>
          <w:lang w:eastAsia="it-IT"/>
        </w:rPr>
        <w:t xml:space="preserve">, delitti di cui agli articoli </w:t>
      </w:r>
      <w:hyperlink r:id="rId9" w:history="1">
        <w:r w:rsidRPr="001D5695">
          <w:rPr>
            <w:rFonts w:ascii="Times" w:hAnsi="Times" w:cs="Times New Roman"/>
            <w:color w:val="0000FF"/>
            <w:sz w:val="20"/>
            <w:szCs w:val="20"/>
            <w:u w:val="single"/>
            <w:lang w:eastAsia="it-IT"/>
          </w:rPr>
          <w:t>416 bis</w:t>
        </w:r>
      </w:hyperlink>
      <w:r w:rsidRPr="001D5695">
        <w:rPr>
          <w:rFonts w:ascii="Times" w:hAnsi="Times" w:cs="Times New Roman"/>
          <w:sz w:val="20"/>
          <w:szCs w:val="20"/>
          <w:lang w:eastAsia="it-IT"/>
        </w:rPr>
        <w:t xml:space="preserve"> e </w:t>
      </w:r>
      <w:hyperlink r:id="rId10" w:history="1">
        <w:r w:rsidRPr="001D5695">
          <w:rPr>
            <w:rFonts w:ascii="Times" w:hAnsi="Times" w:cs="Times New Roman"/>
            <w:color w:val="0000FF"/>
            <w:sz w:val="20"/>
            <w:szCs w:val="20"/>
            <w:u w:val="single"/>
            <w:lang w:eastAsia="it-IT"/>
          </w:rPr>
          <w:t>416 ter</w:t>
        </w:r>
      </w:hyperlink>
      <w:r w:rsidRPr="001D5695">
        <w:rPr>
          <w:rFonts w:ascii="Times" w:hAnsi="Times" w:cs="Times New Roman"/>
          <w:sz w:val="20"/>
          <w:szCs w:val="20"/>
          <w:lang w:eastAsia="it-IT"/>
        </w:rPr>
        <w:t xml:space="preserve"> del codice penale, delitti commessi avvalendosi delle condizioni previste dallo stesso articolo ovvero al fine di agevolare l'attività delle associazioni in esso previste, delitti di cui agli articoli </w:t>
      </w:r>
      <w:hyperlink r:id="rId11" w:history="1">
        <w:r w:rsidRPr="001D5695">
          <w:rPr>
            <w:rFonts w:ascii="Times" w:hAnsi="Times" w:cs="Times New Roman"/>
            <w:color w:val="0000FF"/>
            <w:sz w:val="20"/>
            <w:szCs w:val="20"/>
            <w:u w:val="single"/>
            <w:lang w:eastAsia="it-IT"/>
          </w:rPr>
          <w:t>600</w:t>
        </w:r>
      </w:hyperlink>
      <w:r w:rsidRPr="001D5695">
        <w:rPr>
          <w:rFonts w:ascii="Times" w:hAnsi="Times" w:cs="Times New Roman"/>
          <w:sz w:val="20"/>
          <w:szCs w:val="20"/>
          <w:lang w:eastAsia="it-IT"/>
        </w:rPr>
        <w:t xml:space="preserve">, </w:t>
      </w:r>
      <w:hyperlink r:id="rId12" w:history="1">
        <w:r w:rsidRPr="001D5695">
          <w:rPr>
            <w:rFonts w:ascii="Times" w:hAnsi="Times" w:cs="Times New Roman"/>
            <w:color w:val="0000FF"/>
            <w:sz w:val="20"/>
            <w:szCs w:val="20"/>
            <w:u w:val="single"/>
            <w:lang w:eastAsia="it-IT"/>
          </w:rPr>
          <w:t>600 bis</w:t>
        </w:r>
      </w:hyperlink>
      <w:r w:rsidRPr="001D5695">
        <w:rPr>
          <w:rFonts w:ascii="Times" w:hAnsi="Times" w:cs="Times New Roman"/>
          <w:sz w:val="20"/>
          <w:szCs w:val="20"/>
          <w:lang w:eastAsia="it-IT"/>
        </w:rPr>
        <w:t xml:space="preserve">, primo comma, </w:t>
      </w:r>
      <w:hyperlink r:id="rId13" w:history="1">
        <w:r w:rsidRPr="001D5695">
          <w:rPr>
            <w:rFonts w:ascii="Times" w:hAnsi="Times" w:cs="Times New Roman"/>
            <w:color w:val="0000FF"/>
            <w:sz w:val="20"/>
            <w:szCs w:val="20"/>
            <w:u w:val="single"/>
            <w:lang w:eastAsia="it-IT"/>
          </w:rPr>
          <w:t>600 ter</w:t>
        </w:r>
      </w:hyperlink>
      <w:r w:rsidRPr="001D5695">
        <w:rPr>
          <w:rFonts w:ascii="Times" w:hAnsi="Times" w:cs="Times New Roman"/>
          <w:sz w:val="20"/>
          <w:szCs w:val="20"/>
          <w:lang w:eastAsia="it-IT"/>
        </w:rPr>
        <w:t xml:space="preserve">, primo e secondo comma, </w:t>
      </w:r>
      <w:hyperlink r:id="rId14" w:history="1">
        <w:r w:rsidRPr="001D5695">
          <w:rPr>
            <w:rFonts w:ascii="Times" w:hAnsi="Times" w:cs="Times New Roman"/>
            <w:color w:val="0000FF"/>
            <w:sz w:val="20"/>
            <w:szCs w:val="20"/>
            <w:u w:val="single"/>
            <w:lang w:eastAsia="it-IT"/>
          </w:rPr>
          <w:t>601</w:t>
        </w:r>
      </w:hyperlink>
      <w:r w:rsidRPr="001D5695">
        <w:rPr>
          <w:rFonts w:ascii="Times" w:hAnsi="Times" w:cs="Times New Roman"/>
          <w:sz w:val="20"/>
          <w:szCs w:val="20"/>
          <w:lang w:eastAsia="it-IT"/>
        </w:rPr>
        <w:t xml:space="preserve">, </w:t>
      </w:r>
      <w:hyperlink r:id="rId15" w:history="1">
        <w:r w:rsidRPr="001D5695">
          <w:rPr>
            <w:rFonts w:ascii="Times" w:hAnsi="Times" w:cs="Times New Roman"/>
            <w:color w:val="0000FF"/>
            <w:sz w:val="20"/>
            <w:szCs w:val="20"/>
            <w:u w:val="single"/>
            <w:lang w:eastAsia="it-IT"/>
          </w:rPr>
          <w:t>602</w:t>
        </w:r>
      </w:hyperlink>
      <w:r w:rsidRPr="001D5695">
        <w:rPr>
          <w:rFonts w:ascii="Times" w:hAnsi="Times" w:cs="Times New Roman"/>
          <w:sz w:val="20"/>
          <w:szCs w:val="20"/>
          <w:lang w:eastAsia="it-IT"/>
        </w:rPr>
        <w:t xml:space="preserve">, </w:t>
      </w:r>
      <w:hyperlink r:id="rId16" w:history="1">
        <w:r w:rsidRPr="001D5695">
          <w:rPr>
            <w:rFonts w:ascii="Times" w:hAnsi="Times" w:cs="Times New Roman"/>
            <w:color w:val="0000FF"/>
            <w:sz w:val="20"/>
            <w:szCs w:val="20"/>
            <w:u w:val="single"/>
            <w:lang w:eastAsia="it-IT"/>
          </w:rPr>
          <w:t>609 octies</w:t>
        </w:r>
      </w:hyperlink>
      <w:r w:rsidRPr="001D5695">
        <w:rPr>
          <w:rFonts w:ascii="Times" w:hAnsi="Times" w:cs="Times New Roman"/>
          <w:sz w:val="20"/>
          <w:szCs w:val="20"/>
          <w:lang w:eastAsia="it-IT"/>
        </w:rPr>
        <w:t xml:space="preserve"> e </w:t>
      </w:r>
      <w:hyperlink r:id="rId17" w:history="1">
        <w:r w:rsidRPr="001D5695">
          <w:rPr>
            <w:rFonts w:ascii="Times" w:hAnsi="Times" w:cs="Times New Roman"/>
            <w:color w:val="0000FF"/>
            <w:sz w:val="20"/>
            <w:szCs w:val="20"/>
            <w:u w:val="single"/>
            <w:lang w:eastAsia="it-IT"/>
          </w:rPr>
          <w:t>630</w:t>
        </w:r>
      </w:hyperlink>
      <w:r w:rsidRPr="001D5695">
        <w:rPr>
          <w:rFonts w:ascii="Times" w:hAnsi="Times" w:cs="Times New Roman"/>
          <w:sz w:val="20"/>
          <w:szCs w:val="20"/>
          <w:lang w:eastAsia="it-IT"/>
        </w:rPr>
        <w:t xml:space="preserve"> del codice penale, agli articoli </w:t>
      </w:r>
      <w:hyperlink r:id="rId18" w:history="1">
        <w:r w:rsidRPr="001D5695">
          <w:rPr>
            <w:rFonts w:ascii="Times" w:hAnsi="Times" w:cs="Times New Roman"/>
            <w:color w:val="0000FF"/>
            <w:sz w:val="20"/>
            <w:szCs w:val="20"/>
            <w:u w:val="single"/>
            <w:lang w:eastAsia="it-IT"/>
          </w:rPr>
          <w:t>12</w:t>
        </w:r>
      </w:hyperlink>
      <w:r w:rsidRPr="001D5695">
        <w:rPr>
          <w:rFonts w:ascii="Times" w:hAnsi="Times" w:cs="Times New Roman"/>
          <w:sz w:val="20"/>
          <w:szCs w:val="20"/>
          <w:lang w:eastAsia="it-IT"/>
        </w:rPr>
        <w:t xml:space="preserve">, commi 1 e 3, e </w:t>
      </w:r>
      <w:hyperlink r:id="rId19" w:history="1">
        <w:r w:rsidRPr="001D5695">
          <w:rPr>
            <w:rFonts w:ascii="Times" w:hAnsi="Times" w:cs="Times New Roman"/>
            <w:color w:val="0000FF"/>
            <w:sz w:val="20"/>
            <w:szCs w:val="20"/>
            <w:u w:val="single"/>
            <w:lang w:eastAsia="it-IT"/>
          </w:rPr>
          <w:t>12 bis</w:t>
        </w:r>
      </w:hyperlink>
      <w:r w:rsidRPr="001D5695">
        <w:rPr>
          <w:rFonts w:ascii="Times" w:hAnsi="Times" w:cs="Times New Roman"/>
          <w:sz w:val="20"/>
          <w:szCs w:val="20"/>
          <w:lang w:eastAsia="it-IT"/>
        </w:rPr>
        <w:t xml:space="preserve">, del testo unico delle disposizioni concernenti la disciplina dell'immigrazione e norme sulla condizione dello </w:t>
      </w:r>
      <w:hyperlink r:id="rId20" w:history="1">
        <w:r w:rsidRPr="001D5695">
          <w:rPr>
            <w:rFonts w:ascii="Times" w:hAnsi="Times" w:cs="Times New Roman"/>
            <w:color w:val="0000FF"/>
            <w:sz w:val="20"/>
            <w:szCs w:val="20"/>
            <w:u w:val="single"/>
            <w:lang w:eastAsia="it-IT"/>
          </w:rPr>
          <w:t>straniero</w:t>
        </w:r>
      </w:hyperlink>
      <w:r w:rsidRPr="001D5695">
        <w:rPr>
          <w:rFonts w:ascii="Times" w:hAnsi="Times" w:cs="Times New Roman"/>
          <w:sz w:val="20"/>
          <w:szCs w:val="20"/>
          <w:lang w:eastAsia="it-IT"/>
        </w:rPr>
        <w:t xml:space="preserve">, di cui al decreto legislativo 25 luglio 1998, n. 286, e successive modificazioni, all'articolo 291-quater del testo unico delle disposizioni legislative in materia doganale, di cui al decreto del </w:t>
      </w:r>
      <w:hyperlink r:id="rId21" w:history="1">
        <w:r w:rsidRPr="001D5695">
          <w:rPr>
            <w:rFonts w:ascii="Times" w:hAnsi="Times" w:cs="Times New Roman"/>
            <w:color w:val="0000FF"/>
            <w:sz w:val="20"/>
            <w:szCs w:val="20"/>
            <w:u w:val="single"/>
            <w:lang w:eastAsia="it-IT"/>
          </w:rPr>
          <w:t>Presidente della Repubblica</w:t>
        </w:r>
      </w:hyperlink>
      <w:r w:rsidRPr="001D5695">
        <w:rPr>
          <w:rFonts w:ascii="Times" w:hAnsi="Times" w:cs="Times New Roman"/>
          <w:sz w:val="20"/>
          <w:szCs w:val="20"/>
          <w:lang w:eastAsia="it-IT"/>
        </w:rPr>
        <w:t xml:space="preserve"> 23 gennaio 1973, n. 43, e all'articolo 74 del testo unico delle leggi in materia di disciplina degli stupefacenti e sostanze psicotrope, prevenzione, cura e riabilitazione dei relativi stati di tossicodipendenza, di cui al decreto del </w:t>
      </w:r>
      <w:hyperlink r:id="rId22" w:history="1">
        <w:r w:rsidRPr="001D5695">
          <w:rPr>
            <w:rFonts w:ascii="Times" w:hAnsi="Times" w:cs="Times New Roman"/>
            <w:color w:val="0000FF"/>
            <w:sz w:val="20"/>
            <w:szCs w:val="20"/>
            <w:u w:val="single"/>
            <w:lang w:eastAsia="it-IT"/>
          </w:rPr>
          <w:t>Presidente della Repubblica</w:t>
        </w:r>
      </w:hyperlink>
      <w:r w:rsidRPr="001D5695">
        <w:rPr>
          <w:rFonts w:ascii="Times" w:hAnsi="Times" w:cs="Times New Roman"/>
          <w:sz w:val="20"/>
          <w:szCs w:val="20"/>
          <w:lang w:eastAsia="it-IT"/>
        </w:rPr>
        <w:t xml:space="preserve"> 9 ottobre 1990, n. 309. Sono fatte salve le disposizioni degli articoli 16-nonies e 17-bis del decreto-legge 15 gennaio 1991, n. 8, convertito, con modificazioni, dalla legge 15 marzo 1991, n. 82, e successive modificazioni</w:t>
      </w:r>
      <w:hyperlink r:id="rId23" w:anchor="nota_21204" w:history="1">
        <w:r w:rsidRPr="001D5695">
          <w:rPr>
            <w:rFonts w:ascii="Times" w:hAnsi="Times" w:cs="Times New Roman"/>
            <w:color w:val="0000FF"/>
            <w:sz w:val="20"/>
            <w:szCs w:val="20"/>
            <w:u w:val="single"/>
            <w:vertAlign w:val="superscript"/>
            <w:lang w:eastAsia="it-IT"/>
          </w:rPr>
          <w:t>(1)</w:t>
        </w:r>
      </w:hyperlink>
      <w:hyperlink r:id="rId24" w:anchor="nota_21494" w:history="1">
        <w:r w:rsidRPr="001D5695">
          <w:rPr>
            <w:rFonts w:ascii="Times" w:hAnsi="Times" w:cs="Times New Roman"/>
            <w:color w:val="0000FF"/>
            <w:sz w:val="20"/>
            <w:szCs w:val="20"/>
            <w:u w:val="single"/>
            <w:vertAlign w:val="superscript"/>
            <w:lang w:eastAsia="it-IT"/>
          </w:rPr>
          <w:t>(2)</w:t>
        </w:r>
      </w:hyperlink>
      <w:hyperlink r:id="rId25" w:anchor="nota_24967" w:history="1">
        <w:r w:rsidRPr="001D5695">
          <w:rPr>
            <w:rFonts w:ascii="Times" w:hAnsi="Times" w:cs="Times New Roman"/>
            <w:color w:val="0000FF"/>
            <w:sz w:val="20"/>
            <w:szCs w:val="20"/>
            <w:u w:val="single"/>
            <w:vertAlign w:val="superscript"/>
            <w:lang w:eastAsia="it-IT"/>
          </w:rPr>
          <w:t>(0)</w:t>
        </w:r>
      </w:hyperlink>
      <w:r w:rsidRPr="001D5695">
        <w:rPr>
          <w:rFonts w:ascii="Times" w:hAnsi="Times" w:cs="Times New Roman"/>
          <w:sz w:val="20"/>
          <w:szCs w:val="20"/>
          <w:lang w:eastAsia="it-IT"/>
        </w:rPr>
        <w:t>.</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 xml:space="preserve">1-bis. I benefici di cui al comma 1 possono essere concessi, anche in assenza di collaborazione con la giustizia ai sensi dell'articolo </w:t>
      </w:r>
      <w:hyperlink r:id="rId26" w:history="1">
        <w:r w:rsidRPr="001D5695">
          <w:rPr>
            <w:rFonts w:ascii="Times" w:hAnsi="Times" w:cs="Times New Roman"/>
            <w:color w:val="0000FF"/>
            <w:sz w:val="20"/>
            <w:szCs w:val="20"/>
            <w:u w:val="single"/>
            <w:lang w:eastAsia="it-IT"/>
          </w:rPr>
          <w:t>58 ter</w:t>
        </w:r>
      </w:hyperlink>
      <w:r w:rsidRPr="001D5695">
        <w:rPr>
          <w:rFonts w:ascii="Times" w:hAnsi="Times" w:cs="Times New Roman"/>
          <w:sz w:val="20"/>
          <w:szCs w:val="20"/>
          <w:lang w:eastAsia="it-IT"/>
        </w:rPr>
        <w:t xml:space="preserve">, ai detenuti e agli internati per delitti commessi per finalità di terrorismo, anche internazionale, o di eversione dell'ordine democratico mediante il compimento di atti di violenza, per i delitti di cui agli articoli </w:t>
      </w:r>
      <w:hyperlink r:id="rId27" w:history="1">
        <w:r w:rsidRPr="001D5695">
          <w:rPr>
            <w:rFonts w:ascii="Times" w:hAnsi="Times" w:cs="Times New Roman"/>
            <w:color w:val="0000FF"/>
            <w:sz w:val="20"/>
            <w:szCs w:val="20"/>
            <w:u w:val="single"/>
            <w:lang w:eastAsia="it-IT"/>
          </w:rPr>
          <w:t>416 bis</w:t>
        </w:r>
      </w:hyperlink>
      <w:r w:rsidRPr="001D5695">
        <w:rPr>
          <w:rFonts w:ascii="Times" w:hAnsi="Times" w:cs="Times New Roman"/>
          <w:sz w:val="20"/>
          <w:szCs w:val="20"/>
          <w:lang w:eastAsia="it-IT"/>
        </w:rPr>
        <w:t xml:space="preserve"> e </w:t>
      </w:r>
      <w:hyperlink r:id="rId28" w:history="1">
        <w:r w:rsidRPr="001D5695">
          <w:rPr>
            <w:rFonts w:ascii="Times" w:hAnsi="Times" w:cs="Times New Roman"/>
            <w:color w:val="0000FF"/>
            <w:sz w:val="20"/>
            <w:szCs w:val="20"/>
            <w:u w:val="single"/>
            <w:lang w:eastAsia="it-IT"/>
          </w:rPr>
          <w:t>416 ter</w:t>
        </w:r>
      </w:hyperlink>
      <w:r w:rsidRPr="001D5695">
        <w:rPr>
          <w:rFonts w:ascii="Times" w:hAnsi="Times" w:cs="Times New Roman"/>
          <w:sz w:val="20"/>
          <w:szCs w:val="20"/>
          <w:lang w:eastAsia="it-IT"/>
        </w:rPr>
        <w:t xml:space="preserve"> del codice penale, per delitti commessi avvalendosi delle condizioni previste dall'articolo 416-bis del codice penale ovvero al fine di agevolare l'attività delle associazioni in esso previste, per i delitti di cui agli articoli </w:t>
      </w:r>
      <w:hyperlink r:id="rId29" w:history="1">
        <w:r w:rsidRPr="001D5695">
          <w:rPr>
            <w:rFonts w:ascii="Times" w:hAnsi="Times" w:cs="Times New Roman"/>
            <w:color w:val="0000FF"/>
            <w:sz w:val="20"/>
            <w:szCs w:val="20"/>
            <w:u w:val="single"/>
            <w:lang w:eastAsia="it-IT"/>
          </w:rPr>
          <w:t>12</w:t>
        </w:r>
      </w:hyperlink>
      <w:r w:rsidRPr="001D5695">
        <w:rPr>
          <w:rFonts w:ascii="Times" w:hAnsi="Times" w:cs="Times New Roman"/>
          <w:sz w:val="20"/>
          <w:szCs w:val="20"/>
          <w:lang w:eastAsia="it-IT"/>
        </w:rPr>
        <w:t xml:space="preserve">, commi 1 e 3, e </w:t>
      </w:r>
      <w:hyperlink r:id="rId30" w:history="1">
        <w:r w:rsidRPr="001D5695">
          <w:rPr>
            <w:rFonts w:ascii="Times" w:hAnsi="Times" w:cs="Times New Roman"/>
            <w:color w:val="0000FF"/>
            <w:sz w:val="20"/>
            <w:szCs w:val="20"/>
            <w:u w:val="single"/>
            <w:lang w:eastAsia="it-IT"/>
          </w:rPr>
          <w:t>12 bis</w:t>
        </w:r>
      </w:hyperlink>
      <w:r w:rsidRPr="001D5695">
        <w:rPr>
          <w:rFonts w:ascii="Times" w:hAnsi="Times" w:cs="Times New Roman"/>
          <w:sz w:val="20"/>
          <w:szCs w:val="20"/>
          <w:lang w:eastAsia="it-IT"/>
        </w:rPr>
        <w:t xml:space="preserve">,)) del testo unico delle disposizioni concernenti la disciplina dell'immigrazione e norme sulla condizione dello straniero, di cui al decreto legislativo 25 luglio 1998, n. 286, e per i delitti di cui all'articolo 291-quater del testo unico delle disposizioni legislative in materia doganale, di cui al decreto del Presidente della Repubblica 23 gennaio 1973, n. 43, e all'articolo </w:t>
      </w:r>
      <w:hyperlink r:id="rId31" w:history="1">
        <w:r w:rsidRPr="001D5695">
          <w:rPr>
            <w:rFonts w:ascii="Times" w:hAnsi="Times" w:cs="Times New Roman"/>
            <w:color w:val="0000FF"/>
            <w:sz w:val="20"/>
            <w:szCs w:val="20"/>
            <w:u w:val="single"/>
            <w:lang w:eastAsia="it-IT"/>
          </w:rPr>
          <w:t>74</w:t>
        </w:r>
      </w:hyperlink>
      <w:r w:rsidRPr="001D5695">
        <w:rPr>
          <w:rFonts w:ascii="Times" w:hAnsi="Times" w:cs="Times New Roman"/>
          <w:sz w:val="20"/>
          <w:szCs w:val="20"/>
          <w:lang w:eastAsia="it-IT"/>
        </w:rPr>
        <w:t xml:space="preserve"> del testo unico delle leggi in materia di disciplina degli stupefacenti e sostanze psicotrope, prevenzione, cura e riabilitazione dei relativi stati di tossicodipendenza, di cui al decreto del Presidente della Repubblica 9 ottobre 1990, n. 309, purché gli stessi dimostrino l'adempimento delle obbligazioni civili e degli obblighi di riparazione pecuniaria conseguenti alla condanna o l'assoluta impossibilità di tale adempimento e alleghino elementi specifici, diversi e ulteriori rispetto alla regolare condotta carceraria, alla partecipazione del detenuto al percorso rieducativo e alla mera dichiarazione di dissociazione dall'organizzazione criminale di eventuale appartenenza, che consentano di escludere l'attualità di collegamenti con la criminalità organizzata, terroristica o eversiva e con il contesto nel quale il reato è stato commesso, nonché il pericolo di ripristino di tali collegamenti, anche indiretti o tramite terzi, tenuto conto delle circostanze personali e ambientali, delle ragioni eventualmente dedotte a sostegno della mancata collaborazione, della revisione critica della condotta criminosa e di ogni altra informazione disponibile. Al fine della concessione dei benefici, il giudice accerta altresì la sussistenza di iniziative dell'interessato a favore delle vittime, sia nelle forme risarcitorie che in quelle della giustizia riparativa</w:t>
      </w:r>
      <w:hyperlink r:id="rId32" w:anchor="nota_24967" w:history="1">
        <w:r w:rsidRPr="001D5695">
          <w:rPr>
            <w:rFonts w:ascii="Times" w:hAnsi="Times" w:cs="Times New Roman"/>
            <w:color w:val="0000FF"/>
            <w:sz w:val="20"/>
            <w:szCs w:val="20"/>
            <w:u w:val="single"/>
            <w:vertAlign w:val="superscript"/>
            <w:lang w:eastAsia="it-IT"/>
          </w:rPr>
          <w:t>(0)</w:t>
        </w:r>
      </w:hyperlink>
      <w:r w:rsidRPr="001D5695">
        <w:rPr>
          <w:rFonts w:ascii="Times" w:hAnsi="Times" w:cs="Times New Roman"/>
          <w:sz w:val="20"/>
          <w:szCs w:val="20"/>
          <w:lang w:eastAsia="it-IT"/>
        </w:rPr>
        <w:t>.</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 xml:space="preserve">1-bis.1. I benefici di cui al comma 1 possono essere concessi, anche in assenza di collaborazione con la giustizia ai sensi dell'articolo 58-ter, ai detenuti o internati per i delitti di cui agli articoli </w:t>
      </w:r>
      <w:hyperlink r:id="rId33" w:history="1">
        <w:r w:rsidRPr="001D5695">
          <w:rPr>
            <w:rFonts w:ascii="Times" w:hAnsi="Times" w:cs="Times New Roman"/>
            <w:color w:val="0000FF"/>
            <w:sz w:val="20"/>
            <w:szCs w:val="20"/>
            <w:u w:val="single"/>
            <w:lang w:eastAsia="it-IT"/>
          </w:rPr>
          <w:t>600</w:t>
        </w:r>
      </w:hyperlink>
      <w:r w:rsidRPr="001D5695">
        <w:rPr>
          <w:rFonts w:ascii="Times" w:hAnsi="Times" w:cs="Times New Roman"/>
          <w:sz w:val="20"/>
          <w:szCs w:val="20"/>
          <w:lang w:eastAsia="it-IT"/>
        </w:rPr>
        <w:t xml:space="preserve">, </w:t>
      </w:r>
      <w:hyperlink r:id="rId34" w:history="1">
        <w:r w:rsidRPr="001D5695">
          <w:rPr>
            <w:rFonts w:ascii="Times" w:hAnsi="Times" w:cs="Times New Roman"/>
            <w:color w:val="0000FF"/>
            <w:sz w:val="20"/>
            <w:szCs w:val="20"/>
            <w:u w:val="single"/>
            <w:lang w:eastAsia="it-IT"/>
          </w:rPr>
          <w:t>600 bis</w:t>
        </w:r>
      </w:hyperlink>
      <w:r w:rsidRPr="001D5695">
        <w:rPr>
          <w:rFonts w:ascii="Times" w:hAnsi="Times" w:cs="Times New Roman"/>
          <w:sz w:val="20"/>
          <w:szCs w:val="20"/>
          <w:lang w:eastAsia="it-IT"/>
        </w:rPr>
        <w:t xml:space="preserve">, primo comma, </w:t>
      </w:r>
      <w:hyperlink r:id="rId35" w:history="1">
        <w:r w:rsidRPr="001D5695">
          <w:rPr>
            <w:rFonts w:ascii="Times" w:hAnsi="Times" w:cs="Times New Roman"/>
            <w:color w:val="0000FF"/>
            <w:sz w:val="20"/>
            <w:szCs w:val="20"/>
            <w:u w:val="single"/>
            <w:lang w:eastAsia="it-IT"/>
          </w:rPr>
          <w:t>600 ter</w:t>
        </w:r>
      </w:hyperlink>
      <w:r w:rsidRPr="001D5695">
        <w:rPr>
          <w:rFonts w:ascii="Times" w:hAnsi="Times" w:cs="Times New Roman"/>
          <w:sz w:val="20"/>
          <w:szCs w:val="20"/>
          <w:lang w:eastAsia="it-IT"/>
        </w:rPr>
        <w:t xml:space="preserve">, primo e secondo comma, </w:t>
      </w:r>
      <w:hyperlink r:id="rId36" w:history="1">
        <w:r w:rsidRPr="001D5695">
          <w:rPr>
            <w:rFonts w:ascii="Times" w:hAnsi="Times" w:cs="Times New Roman"/>
            <w:color w:val="0000FF"/>
            <w:sz w:val="20"/>
            <w:szCs w:val="20"/>
            <w:u w:val="single"/>
            <w:lang w:eastAsia="it-IT"/>
          </w:rPr>
          <w:t>601</w:t>
        </w:r>
      </w:hyperlink>
      <w:r w:rsidRPr="001D5695">
        <w:rPr>
          <w:rFonts w:ascii="Times" w:hAnsi="Times" w:cs="Times New Roman"/>
          <w:sz w:val="20"/>
          <w:szCs w:val="20"/>
          <w:lang w:eastAsia="it-IT"/>
        </w:rPr>
        <w:t xml:space="preserve">, </w:t>
      </w:r>
      <w:hyperlink r:id="rId37" w:history="1">
        <w:r w:rsidRPr="001D5695">
          <w:rPr>
            <w:rFonts w:ascii="Times" w:hAnsi="Times" w:cs="Times New Roman"/>
            <w:color w:val="0000FF"/>
            <w:sz w:val="20"/>
            <w:szCs w:val="20"/>
            <w:u w:val="single"/>
            <w:lang w:eastAsia="it-IT"/>
          </w:rPr>
          <w:t>602</w:t>
        </w:r>
      </w:hyperlink>
      <w:r w:rsidRPr="001D5695">
        <w:rPr>
          <w:rFonts w:ascii="Times" w:hAnsi="Times" w:cs="Times New Roman"/>
          <w:sz w:val="20"/>
          <w:szCs w:val="20"/>
          <w:lang w:eastAsia="it-IT"/>
        </w:rPr>
        <w:t xml:space="preserve">, </w:t>
      </w:r>
      <w:hyperlink r:id="rId38" w:history="1">
        <w:r w:rsidRPr="001D5695">
          <w:rPr>
            <w:rFonts w:ascii="Times" w:hAnsi="Times" w:cs="Times New Roman"/>
            <w:color w:val="0000FF"/>
            <w:sz w:val="20"/>
            <w:szCs w:val="20"/>
            <w:u w:val="single"/>
            <w:lang w:eastAsia="it-IT"/>
          </w:rPr>
          <w:t>609 octies</w:t>
        </w:r>
      </w:hyperlink>
      <w:r w:rsidRPr="001D5695">
        <w:rPr>
          <w:rFonts w:ascii="Times" w:hAnsi="Times" w:cs="Times New Roman"/>
          <w:sz w:val="20"/>
          <w:szCs w:val="20"/>
          <w:lang w:eastAsia="it-IT"/>
        </w:rPr>
        <w:t xml:space="preserve"> e </w:t>
      </w:r>
      <w:hyperlink r:id="rId39" w:history="1">
        <w:r w:rsidRPr="001D5695">
          <w:rPr>
            <w:rFonts w:ascii="Times" w:hAnsi="Times" w:cs="Times New Roman"/>
            <w:color w:val="0000FF"/>
            <w:sz w:val="20"/>
            <w:szCs w:val="20"/>
            <w:u w:val="single"/>
            <w:lang w:eastAsia="it-IT"/>
          </w:rPr>
          <w:t>630</w:t>
        </w:r>
      </w:hyperlink>
      <w:r w:rsidRPr="001D5695">
        <w:rPr>
          <w:rFonts w:ascii="Times" w:hAnsi="Times" w:cs="Times New Roman"/>
          <w:sz w:val="20"/>
          <w:szCs w:val="20"/>
          <w:lang w:eastAsia="it-IT"/>
        </w:rPr>
        <w:t xml:space="preserve"> del codice penale, purché gli stessi dimostrino l'adempimento delle obbligazioni civili e degli obblighi di riparazione pecuniaria conseguenti alla condanna o l'assoluta impossibilità di tale adempimento e alleghino elementi specifici, diversi e ulteriori rispetto alla regolare condotta carceraria e alla partecipazione del detenuto al percorso rieducativo, che consentano di escludere l'attualità di collegamenti, anche indiretti o tramite terzi, con il contesto nel quale il reato è stato commesso, tenuto conto delle circostanze personali e ambientali, delle ragioni eventualmente dedotte a sostegno della mancata collaborazione, della revisione critica della condotta criminosa e di ogni altra informazione disponibile. Al fine della concessione dei benefici, il giudice di sorveglianza accerta altresì la sussistenza di iniziative dell'interessato a favore delle vittime, sia nelle forme risarcitorie che in quelle della giustizia riparativa.</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1-bis.1.1. Con il provvedimento di concessione dei benefici di cui al comma 1 possono essere stabilite prescrizioni volte a impedire il pericolo del ripristino di collegamenti con la criminalità organizzata, terroristica o eversiva o che impediscano ai condannati di svolgere attività o di avere rapporti personali che possono portare al compimento di altri reati o al ripristino di rapporti con la criminalità organizzata, terroristica o eversiva. A tal fine il giudice può disporre che il condannato non soggiorni in uno o più comuni, o soggiorni in un comune determinato.</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1-bis.2. Ai detenuti e agli internati, oltre che per taluno dei delitti di cui al comma 1-bis.1, anche per il delitto di cui all'</w:t>
      </w:r>
      <w:hyperlink r:id="rId40" w:history="1">
        <w:r w:rsidRPr="001D5695">
          <w:rPr>
            <w:rFonts w:ascii="Times" w:hAnsi="Times" w:cs="Times New Roman"/>
            <w:color w:val="0000FF"/>
            <w:sz w:val="20"/>
            <w:szCs w:val="20"/>
            <w:u w:val="single"/>
            <w:lang w:eastAsia="it-IT"/>
          </w:rPr>
          <w:t>art. 416 del c.p.</w:t>
        </w:r>
      </w:hyperlink>
      <w:r w:rsidRPr="001D5695">
        <w:rPr>
          <w:rFonts w:ascii="Times" w:hAnsi="Times" w:cs="Times New Roman"/>
          <w:sz w:val="20"/>
          <w:szCs w:val="20"/>
          <w:lang w:eastAsia="it-IT"/>
        </w:rPr>
        <w:t xml:space="preserve"> finalizzato alla commissione dei delitti ivi indicati si applicano le disposizioni del comma 1-bis.</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 xml:space="preserve">1-ter. I benefici di cui al comma 1 possono essere concessi, purché non vi siano elementi tali da far ritenere la sussistenza di collegamenti con la criminalità organizzata, terroristica o eversiva, ai detenuti o internati per i delitti di cui agli articoli </w:t>
      </w:r>
      <w:hyperlink r:id="rId41" w:history="1">
        <w:r w:rsidRPr="001D5695">
          <w:rPr>
            <w:rFonts w:ascii="Times" w:hAnsi="Times" w:cs="Times New Roman"/>
            <w:color w:val="0000FF"/>
            <w:sz w:val="20"/>
            <w:szCs w:val="20"/>
            <w:u w:val="single"/>
            <w:lang w:eastAsia="it-IT"/>
          </w:rPr>
          <w:t>575</w:t>
        </w:r>
      </w:hyperlink>
      <w:r w:rsidRPr="001D5695">
        <w:rPr>
          <w:rFonts w:ascii="Times" w:hAnsi="Times" w:cs="Times New Roman"/>
          <w:sz w:val="20"/>
          <w:szCs w:val="20"/>
          <w:lang w:eastAsia="it-IT"/>
        </w:rPr>
        <w:t xml:space="preserve">, </w:t>
      </w:r>
      <w:hyperlink r:id="rId42" w:history="1">
        <w:r w:rsidRPr="001D5695">
          <w:rPr>
            <w:rFonts w:ascii="Times" w:hAnsi="Times" w:cs="Times New Roman"/>
            <w:color w:val="0000FF"/>
            <w:sz w:val="20"/>
            <w:szCs w:val="20"/>
            <w:u w:val="single"/>
            <w:lang w:eastAsia="it-IT"/>
          </w:rPr>
          <w:t>600 bis</w:t>
        </w:r>
      </w:hyperlink>
      <w:r w:rsidRPr="001D5695">
        <w:rPr>
          <w:rFonts w:ascii="Times" w:hAnsi="Times" w:cs="Times New Roman"/>
          <w:sz w:val="20"/>
          <w:szCs w:val="20"/>
          <w:lang w:eastAsia="it-IT"/>
        </w:rPr>
        <w:t xml:space="preserve">, secondo e terzo comma, </w:t>
      </w:r>
      <w:hyperlink r:id="rId43" w:history="1">
        <w:r w:rsidRPr="001D5695">
          <w:rPr>
            <w:rFonts w:ascii="Times" w:hAnsi="Times" w:cs="Times New Roman"/>
            <w:color w:val="0000FF"/>
            <w:sz w:val="20"/>
            <w:szCs w:val="20"/>
            <w:u w:val="single"/>
            <w:lang w:eastAsia="it-IT"/>
          </w:rPr>
          <w:t>600 ter</w:t>
        </w:r>
      </w:hyperlink>
      <w:r w:rsidRPr="001D5695">
        <w:rPr>
          <w:rFonts w:ascii="Times" w:hAnsi="Times" w:cs="Times New Roman"/>
          <w:sz w:val="20"/>
          <w:szCs w:val="20"/>
          <w:lang w:eastAsia="it-IT"/>
        </w:rPr>
        <w:t xml:space="preserve">, terzo comma, </w:t>
      </w:r>
      <w:hyperlink r:id="rId44" w:history="1">
        <w:r w:rsidRPr="001D5695">
          <w:rPr>
            <w:rFonts w:ascii="Times" w:hAnsi="Times" w:cs="Times New Roman"/>
            <w:color w:val="0000FF"/>
            <w:sz w:val="20"/>
            <w:szCs w:val="20"/>
            <w:u w:val="single"/>
            <w:lang w:eastAsia="it-IT"/>
          </w:rPr>
          <w:t>600 quinquies</w:t>
        </w:r>
      </w:hyperlink>
      <w:r w:rsidRPr="001D5695">
        <w:rPr>
          <w:rFonts w:ascii="Times" w:hAnsi="Times" w:cs="Times New Roman"/>
          <w:sz w:val="20"/>
          <w:szCs w:val="20"/>
          <w:lang w:eastAsia="it-IT"/>
        </w:rPr>
        <w:t xml:space="preserve">, </w:t>
      </w:r>
      <w:hyperlink r:id="rId45" w:history="1">
        <w:r w:rsidRPr="001D5695">
          <w:rPr>
            <w:rFonts w:ascii="Times" w:hAnsi="Times" w:cs="Times New Roman"/>
            <w:color w:val="0000FF"/>
            <w:sz w:val="20"/>
            <w:szCs w:val="20"/>
            <w:u w:val="single"/>
            <w:lang w:eastAsia="it-IT"/>
          </w:rPr>
          <w:t>628</w:t>
        </w:r>
      </w:hyperlink>
      <w:r w:rsidRPr="001D5695">
        <w:rPr>
          <w:rFonts w:ascii="Times" w:hAnsi="Times" w:cs="Times New Roman"/>
          <w:sz w:val="20"/>
          <w:szCs w:val="20"/>
          <w:lang w:eastAsia="it-IT"/>
        </w:rPr>
        <w:t xml:space="preserve">, terzo comma, e </w:t>
      </w:r>
      <w:hyperlink r:id="rId46" w:history="1">
        <w:r w:rsidRPr="001D5695">
          <w:rPr>
            <w:rFonts w:ascii="Times" w:hAnsi="Times" w:cs="Times New Roman"/>
            <w:color w:val="0000FF"/>
            <w:sz w:val="20"/>
            <w:szCs w:val="20"/>
            <w:u w:val="single"/>
            <w:lang w:eastAsia="it-IT"/>
          </w:rPr>
          <w:t>629</w:t>
        </w:r>
      </w:hyperlink>
      <w:r w:rsidRPr="001D5695">
        <w:rPr>
          <w:rFonts w:ascii="Times" w:hAnsi="Times" w:cs="Times New Roman"/>
          <w:sz w:val="20"/>
          <w:szCs w:val="20"/>
          <w:lang w:eastAsia="it-IT"/>
        </w:rPr>
        <w:t xml:space="preserve">, secondo comma, del codice penale, all'articolo 291-ter del citato testo unico di cui al decreto del Presidente della Repubblica 23 gennaio 1973, n. 43, all'articolo 73 del citato testo unico di cui al decreto del Presidente della Repubblica 9 ottobre 1990, n. 309, e successive modificazioni, limitatamente alle ipotesi aggravate ai sensi dell'articolo 80, comma 2, del medesimo testo unico, all'articolo </w:t>
      </w:r>
      <w:hyperlink r:id="rId47" w:history="1">
        <w:r w:rsidRPr="001D5695">
          <w:rPr>
            <w:rFonts w:ascii="Times" w:hAnsi="Times" w:cs="Times New Roman"/>
            <w:color w:val="0000FF"/>
            <w:sz w:val="20"/>
            <w:szCs w:val="20"/>
            <w:u w:val="single"/>
            <w:lang w:eastAsia="it-IT"/>
          </w:rPr>
          <w:t>416</w:t>
        </w:r>
      </w:hyperlink>
      <w:r w:rsidRPr="001D5695">
        <w:rPr>
          <w:rFonts w:ascii="Times" w:hAnsi="Times" w:cs="Times New Roman"/>
          <w:sz w:val="20"/>
          <w:szCs w:val="20"/>
          <w:lang w:eastAsia="it-IT"/>
        </w:rPr>
        <w:t xml:space="preserve">, primo e terzo comma, del codice penale, realizzato allo scopo di commettere delitti previsti dagli articoli </w:t>
      </w:r>
      <w:hyperlink r:id="rId48" w:history="1">
        <w:r w:rsidRPr="001D5695">
          <w:rPr>
            <w:rFonts w:ascii="Times" w:hAnsi="Times" w:cs="Times New Roman"/>
            <w:color w:val="0000FF"/>
            <w:sz w:val="20"/>
            <w:szCs w:val="20"/>
            <w:u w:val="single"/>
            <w:lang w:eastAsia="it-IT"/>
          </w:rPr>
          <w:t>473</w:t>
        </w:r>
      </w:hyperlink>
      <w:r w:rsidRPr="001D5695">
        <w:rPr>
          <w:rFonts w:ascii="Times" w:hAnsi="Times" w:cs="Times New Roman"/>
          <w:sz w:val="20"/>
          <w:szCs w:val="20"/>
          <w:lang w:eastAsia="it-IT"/>
        </w:rPr>
        <w:t xml:space="preserve"> e </w:t>
      </w:r>
      <w:hyperlink r:id="rId49" w:history="1">
        <w:r w:rsidRPr="001D5695">
          <w:rPr>
            <w:rFonts w:ascii="Times" w:hAnsi="Times" w:cs="Times New Roman"/>
            <w:color w:val="0000FF"/>
            <w:sz w:val="20"/>
            <w:szCs w:val="20"/>
            <w:u w:val="single"/>
            <w:lang w:eastAsia="it-IT"/>
          </w:rPr>
          <w:t>474</w:t>
        </w:r>
      </w:hyperlink>
      <w:r w:rsidRPr="001D5695">
        <w:rPr>
          <w:rFonts w:ascii="Times" w:hAnsi="Times" w:cs="Times New Roman"/>
          <w:sz w:val="20"/>
          <w:szCs w:val="20"/>
          <w:lang w:eastAsia="it-IT"/>
        </w:rPr>
        <w:t xml:space="preserve"> del medesimo codice, e all'articolo </w:t>
      </w:r>
      <w:hyperlink r:id="rId50" w:history="1">
        <w:r w:rsidRPr="001D5695">
          <w:rPr>
            <w:rFonts w:ascii="Times" w:hAnsi="Times" w:cs="Times New Roman"/>
            <w:color w:val="0000FF"/>
            <w:sz w:val="20"/>
            <w:szCs w:val="20"/>
            <w:u w:val="single"/>
            <w:lang w:eastAsia="it-IT"/>
          </w:rPr>
          <w:t>416</w:t>
        </w:r>
      </w:hyperlink>
      <w:r w:rsidRPr="001D5695">
        <w:rPr>
          <w:rFonts w:ascii="Times" w:hAnsi="Times" w:cs="Times New Roman"/>
          <w:sz w:val="20"/>
          <w:szCs w:val="20"/>
          <w:lang w:eastAsia="it-IT"/>
        </w:rPr>
        <w:t xml:space="preserve"> del codice penale, realizzato allo scopo di commettere delitti previsti dal libro II, titolo XII, capo III, sezione I, del medesimo codice, dagli articoli </w:t>
      </w:r>
      <w:hyperlink r:id="rId51" w:history="1">
        <w:r w:rsidRPr="001D5695">
          <w:rPr>
            <w:rFonts w:ascii="Times" w:hAnsi="Times" w:cs="Times New Roman"/>
            <w:color w:val="0000FF"/>
            <w:sz w:val="20"/>
            <w:szCs w:val="20"/>
            <w:u w:val="single"/>
            <w:lang w:eastAsia="it-IT"/>
          </w:rPr>
          <w:t>609 bis</w:t>
        </w:r>
      </w:hyperlink>
      <w:r w:rsidRPr="001D5695">
        <w:rPr>
          <w:rFonts w:ascii="Times" w:hAnsi="Times" w:cs="Times New Roman"/>
          <w:sz w:val="20"/>
          <w:szCs w:val="20"/>
          <w:lang w:eastAsia="it-IT"/>
        </w:rPr>
        <w:t xml:space="preserve">, </w:t>
      </w:r>
      <w:hyperlink r:id="rId52" w:history="1">
        <w:r w:rsidRPr="001D5695">
          <w:rPr>
            <w:rFonts w:ascii="Times" w:hAnsi="Times" w:cs="Times New Roman"/>
            <w:color w:val="0000FF"/>
            <w:sz w:val="20"/>
            <w:szCs w:val="20"/>
            <w:u w:val="single"/>
            <w:lang w:eastAsia="it-IT"/>
          </w:rPr>
          <w:t>609 quater</w:t>
        </w:r>
      </w:hyperlink>
      <w:r w:rsidRPr="001D5695">
        <w:rPr>
          <w:rFonts w:ascii="Times" w:hAnsi="Times" w:cs="Times New Roman"/>
          <w:sz w:val="20"/>
          <w:szCs w:val="20"/>
          <w:lang w:eastAsia="it-IT"/>
        </w:rPr>
        <w:t xml:space="preserve"> e </w:t>
      </w:r>
      <w:hyperlink r:id="rId53" w:history="1">
        <w:r w:rsidRPr="001D5695">
          <w:rPr>
            <w:rFonts w:ascii="Times" w:hAnsi="Times" w:cs="Times New Roman"/>
            <w:color w:val="0000FF"/>
            <w:sz w:val="20"/>
            <w:szCs w:val="20"/>
            <w:u w:val="single"/>
            <w:lang w:eastAsia="it-IT"/>
          </w:rPr>
          <w:t>609 octies</w:t>
        </w:r>
      </w:hyperlink>
      <w:r w:rsidRPr="001D5695">
        <w:rPr>
          <w:rFonts w:ascii="Times" w:hAnsi="Times" w:cs="Times New Roman"/>
          <w:sz w:val="20"/>
          <w:szCs w:val="20"/>
          <w:lang w:eastAsia="it-IT"/>
        </w:rPr>
        <w:t xml:space="preserve"> del codice penale e dall'articolo 12, commi 3, 3-bis e 3-ter, del testo unico delle disposizioni concernenti la disciplina dell'immigrazione e norme sulla condizione dello straniero, di cui al decreto legislativo 25 luglio 1998, n. 286, e successive modificazioni.</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 xml:space="preserve">1-quater. I benefici di cui al comma 1 possono essere concessi ai detenuti o internati per i delitti di cui agli articoli </w:t>
      </w:r>
      <w:hyperlink r:id="rId54" w:history="1">
        <w:r w:rsidRPr="001D5695">
          <w:rPr>
            <w:rFonts w:ascii="Times" w:hAnsi="Times" w:cs="Times New Roman"/>
            <w:color w:val="0000FF"/>
            <w:sz w:val="20"/>
            <w:szCs w:val="20"/>
            <w:u w:val="single"/>
            <w:lang w:eastAsia="it-IT"/>
          </w:rPr>
          <w:t>583 quinquies</w:t>
        </w:r>
      </w:hyperlink>
      <w:r w:rsidRPr="001D5695">
        <w:rPr>
          <w:rFonts w:ascii="Times" w:hAnsi="Times" w:cs="Times New Roman"/>
          <w:sz w:val="20"/>
          <w:szCs w:val="20"/>
          <w:lang w:eastAsia="it-IT"/>
        </w:rPr>
        <w:t xml:space="preserve">, </w:t>
      </w:r>
      <w:hyperlink r:id="rId55" w:history="1">
        <w:r w:rsidRPr="001D5695">
          <w:rPr>
            <w:rFonts w:ascii="Times" w:hAnsi="Times" w:cs="Times New Roman"/>
            <w:color w:val="0000FF"/>
            <w:sz w:val="20"/>
            <w:szCs w:val="20"/>
            <w:u w:val="single"/>
            <w:lang w:eastAsia="it-IT"/>
          </w:rPr>
          <w:t>600 bis</w:t>
        </w:r>
      </w:hyperlink>
      <w:r w:rsidRPr="001D5695">
        <w:rPr>
          <w:rFonts w:ascii="Times" w:hAnsi="Times" w:cs="Times New Roman"/>
          <w:sz w:val="20"/>
          <w:szCs w:val="20"/>
          <w:lang w:eastAsia="it-IT"/>
        </w:rPr>
        <w:t xml:space="preserve">, </w:t>
      </w:r>
      <w:hyperlink r:id="rId56" w:history="1">
        <w:r w:rsidRPr="001D5695">
          <w:rPr>
            <w:rFonts w:ascii="Times" w:hAnsi="Times" w:cs="Times New Roman"/>
            <w:color w:val="0000FF"/>
            <w:sz w:val="20"/>
            <w:szCs w:val="20"/>
            <w:u w:val="single"/>
            <w:lang w:eastAsia="it-IT"/>
          </w:rPr>
          <w:t>600 ter</w:t>
        </w:r>
      </w:hyperlink>
      <w:r w:rsidRPr="001D5695">
        <w:rPr>
          <w:rFonts w:ascii="Times" w:hAnsi="Times" w:cs="Times New Roman"/>
          <w:sz w:val="20"/>
          <w:szCs w:val="20"/>
          <w:lang w:eastAsia="it-IT"/>
        </w:rPr>
        <w:t xml:space="preserve">, </w:t>
      </w:r>
      <w:hyperlink r:id="rId57" w:history="1">
        <w:r w:rsidRPr="001D5695">
          <w:rPr>
            <w:rFonts w:ascii="Times" w:hAnsi="Times" w:cs="Times New Roman"/>
            <w:color w:val="0000FF"/>
            <w:sz w:val="20"/>
            <w:szCs w:val="20"/>
            <w:u w:val="single"/>
            <w:lang w:eastAsia="it-IT"/>
          </w:rPr>
          <w:t>600 quater</w:t>
        </w:r>
      </w:hyperlink>
      <w:r w:rsidRPr="001D5695">
        <w:rPr>
          <w:rFonts w:ascii="Times" w:hAnsi="Times" w:cs="Times New Roman"/>
          <w:sz w:val="20"/>
          <w:szCs w:val="20"/>
          <w:lang w:eastAsia="it-IT"/>
        </w:rPr>
        <w:t xml:space="preserve">, </w:t>
      </w:r>
      <w:hyperlink r:id="rId58" w:history="1">
        <w:r w:rsidRPr="001D5695">
          <w:rPr>
            <w:rFonts w:ascii="Times" w:hAnsi="Times" w:cs="Times New Roman"/>
            <w:color w:val="0000FF"/>
            <w:sz w:val="20"/>
            <w:szCs w:val="20"/>
            <w:u w:val="single"/>
            <w:lang w:eastAsia="it-IT"/>
          </w:rPr>
          <w:t>600 quinquies</w:t>
        </w:r>
      </w:hyperlink>
      <w:r w:rsidRPr="001D5695">
        <w:rPr>
          <w:rFonts w:ascii="Times" w:hAnsi="Times" w:cs="Times New Roman"/>
          <w:sz w:val="20"/>
          <w:szCs w:val="20"/>
          <w:lang w:eastAsia="it-IT"/>
        </w:rPr>
        <w:t xml:space="preserve">, </w:t>
      </w:r>
      <w:hyperlink r:id="rId59" w:history="1">
        <w:r w:rsidRPr="001D5695">
          <w:rPr>
            <w:rFonts w:ascii="Times" w:hAnsi="Times" w:cs="Times New Roman"/>
            <w:color w:val="0000FF"/>
            <w:sz w:val="20"/>
            <w:szCs w:val="20"/>
            <w:u w:val="single"/>
            <w:lang w:eastAsia="it-IT"/>
          </w:rPr>
          <w:t>609 bis</w:t>
        </w:r>
      </w:hyperlink>
      <w:r w:rsidRPr="001D5695">
        <w:rPr>
          <w:rFonts w:ascii="Times" w:hAnsi="Times" w:cs="Times New Roman"/>
          <w:sz w:val="20"/>
          <w:szCs w:val="20"/>
          <w:lang w:eastAsia="it-IT"/>
        </w:rPr>
        <w:t xml:space="preserve">, </w:t>
      </w:r>
      <w:hyperlink r:id="rId60" w:history="1">
        <w:r w:rsidRPr="001D5695">
          <w:rPr>
            <w:rFonts w:ascii="Times" w:hAnsi="Times" w:cs="Times New Roman"/>
            <w:color w:val="0000FF"/>
            <w:sz w:val="20"/>
            <w:szCs w:val="20"/>
            <w:u w:val="single"/>
            <w:lang w:eastAsia="it-IT"/>
          </w:rPr>
          <w:t>609 ter</w:t>
        </w:r>
      </w:hyperlink>
      <w:r w:rsidRPr="001D5695">
        <w:rPr>
          <w:rFonts w:ascii="Times" w:hAnsi="Times" w:cs="Times New Roman"/>
          <w:sz w:val="20"/>
          <w:szCs w:val="20"/>
          <w:lang w:eastAsia="it-IT"/>
        </w:rPr>
        <w:t xml:space="preserve">, </w:t>
      </w:r>
      <w:hyperlink r:id="rId61" w:history="1">
        <w:r w:rsidRPr="001D5695">
          <w:rPr>
            <w:rFonts w:ascii="Times" w:hAnsi="Times" w:cs="Times New Roman"/>
            <w:color w:val="0000FF"/>
            <w:sz w:val="20"/>
            <w:szCs w:val="20"/>
            <w:u w:val="single"/>
            <w:lang w:eastAsia="it-IT"/>
          </w:rPr>
          <w:t>609 quater</w:t>
        </w:r>
      </w:hyperlink>
      <w:r w:rsidRPr="001D5695">
        <w:rPr>
          <w:rFonts w:ascii="Times" w:hAnsi="Times" w:cs="Times New Roman"/>
          <w:sz w:val="20"/>
          <w:szCs w:val="20"/>
          <w:lang w:eastAsia="it-IT"/>
        </w:rPr>
        <w:t xml:space="preserve">, </w:t>
      </w:r>
      <w:hyperlink r:id="rId62" w:history="1">
        <w:r w:rsidRPr="001D5695">
          <w:rPr>
            <w:rFonts w:ascii="Times" w:hAnsi="Times" w:cs="Times New Roman"/>
            <w:color w:val="0000FF"/>
            <w:sz w:val="20"/>
            <w:szCs w:val="20"/>
            <w:u w:val="single"/>
            <w:lang w:eastAsia="it-IT"/>
          </w:rPr>
          <w:t>609 quinquies</w:t>
        </w:r>
      </w:hyperlink>
      <w:r w:rsidRPr="001D5695">
        <w:rPr>
          <w:rFonts w:ascii="Times" w:hAnsi="Times" w:cs="Times New Roman"/>
          <w:sz w:val="20"/>
          <w:szCs w:val="20"/>
          <w:lang w:eastAsia="it-IT"/>
        </w:rPr>
        <w:t xml:space="preserve">, </w:t>
      </w:r>
      <w:hyperlink r:id="rId63" w:history="1">
        <w:r w:rsidRPr="001D5695">
          <w:rPr>
            <w:rFonts w:ascii="Times" w:hAnsi="Times" w:cs="Times New Roman"/>
            <w:color w:val="0000FF"/>
            <w:sz w:val="20"/>
            <w:szCs w:val="20"/>
            <w:u w:val="single"/>
            <w:lang w:eastAsia="it-IT"/>
          </w:rPr>
          <w:t>609 octies</w:t>
        </w:r>
      </w:hyperlink>
      <w:r w:rsidRPr="001D5695">
        <w:rPr>
          <w:rFonts w:ascii="Times" w:hAnsi="Times" w:cs="Times New Roman"/>
          <w:sz w:val="20"/>
          <w:szCs w:val="20"/>
          <w:lang w:eastAsia="it-IT"/>
        </w:rPr>
        <w:t xml:space="preserve"> e </w:t>
      </w:r>
      <w:hyperlink r:id="rId64" w:history="1">
        <w:r w:rsidRPr="001D5695">
          <w:rPr>
            <w:rFonts w:ascii="Times" w:hAnsi="Times" w:cs="Times New Roman"/>
            <w:color w:val="0000FF"/>
            <w:sz w:val="20"/>
            <w:szCs w:val="20"/>
            <w:u w:val="single"/>
            <w:lang w:eastAsia="it-IT"/>
          </w:rPr>
          <w:t>609 undecies</w:t>
        </w:r>
      </w:hyperlink>
      <w:r w:rsidRPr="001D5695">
        <w:rPr>
          <w:rFonts w:ascii="Times" w:hAnsi="Times" w:cs="Times New Roman"/>
          <w:sz w:val="20"/>
          <w:szCs w:val="20"/>
          <w:lang w:eastAsia="it-IT"/>
        </w:rPr>
        <w:t xml:space="preserve"> del codice penale solo sulla base dei risultati dell'osservazione scientifica della personalità condotta collegialmente per almeno un anno anche con la partecipazione degli esperti di cui al quarto comma dell'articolo </w:t>
      </w:r>
      <w:hyperlink r:id="rId65" w:history="1">
        <w:r w:rsidRPr="001D5695">
          <w:rPr>
            <w:rFonts w:ascii="Times" w:hAnsi="Times" w:cs="Times New Roman"/>
            <w:color w:val="0000FF"/>
            <w:sz w:val="20"/>
            <w:szCs w:val="20"/>
            <w:u w:val="single"/>
            <w:lang w:eastAsia="it-IT"/>
          </w:rPr>
          <w:t>80</w:t>
        </w:r>
      </w:hyperlink>
      <w:r w:rsidRPr="001D5695">
        <w:rPr>
          <w:rFonts w:ascii="Times" w:hAnsi="Times" w:cs="Times New Roman"/>
          <w:sz w:val="20"/>
          <w:szCs w:val="20"/>
          <w:lang w:eastAsia="it-IT"/>
        </w:rPr>
        <w:t xml:space="preserve"> della presente legge. Le disposizioni di cui al periodo precedente si applicano in ordine al delitto previsto dall'articolo </w:t>
      </w:r>
      <w:hyperlink r:id="rId66" w:history="1">
        <w:r w:rsidRPr="001D5695">
          <w:rPr>
            <w:rFonts w:ascii="Times" w:hAnsi="Times" w:cs="Times New Roman"/>
            <w:color w:val="0000FF"/>
            <w:sz w:val="20"/>
            <w:szCs w:val="20"/>
            <w:u w:val="single"/>
            <w:lang w:eastAsia="it-IT"/>
          </w:rPr>
          <w:t>609 bis</w:t>
        </w:r>
      </w:hyperlink>
      <w:r w:rsidRPr="001D5695">
        <w:rPr>
          <w:rFonts w:ascii="Times" w:hAnsi="Times" w:cs="Times New Roman"/>
          <w:sz w:val="20"/>
          <w:szCs w:val="20"/>
          <w:lang w:eastAsia="it-IT"/>
        </w:rPr>
        <w:t xml:space="preserve"> del codice penale salvo che risulti applicata la circostanza attenuante dallo stesso contemplata</w:t>
      </w:r>
      <w:hyperlink r:id="rId67" w:anchor="nota_21208" w:history="1">
        <w:r w:rsidRPr="001D5695">
          <w:rPr>
            <w:rFonts w:ascii="Times" w:hAnsi="Times" w:cs="Times New Roman"/>
            <w:color w:val="0000FF"/>
            <w:sz w:val="20"/>
            <w:szCs w:val="20"/>
            <w:u w:val="single"/>
            <w:vertAlign w:val="superscript"/>
            <w:lang w:eastAsia="it-IT"/>
          </w:rPr>
          <w:t>(3)</w:t>
        </w:r>
      </w:hyperlink>
      <w:r w:rsidRPr="001D5695">
        <w:rPr>
          <w:rFonts w:ascii="Times" w:hAnsi="Times" w:cs="Times New Roman"/>
          <w:sz w:val="20"/>
          <w:szCs w:val="20"/>
          <w:lang w:eastAsia="it-IT"/>
        </w:rPr>
        <w:t>.</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 xml:space="preserve">1-quinquies. Salvo quanto previsto dal comma 1, ai fini della concessione dei benefici ai detenuti e internati per i delitti di cui agli articoli </w:t>
      </w:r>
      <w:hyperlink r:id="rId68" w:history="1">
        <w:r w:rsidRPr="001D5695">
          <w:rPr>
            <w:rFonts w:ascii="Times" w:hAnsi="Times" w:cs="Times New Roman"/>
            <w:color w:val="0000FF"/>
            <w:sz w:val="20"/>
            <w:szCs w:val="20"/>
            <w:u w:val="single"/>
            <w:lang w:eastAsia="it-IT"/>
          </w:rPr>
          <w:t>583 quinquies</w:t>
        </w:r>
      </w:hyperlink>
      <w:r w:rsidRPr="001D5695">
        <w:rPr>
          <w:rFonts w:ascii="Times" w:hAnsi="Times" w:cs="Times New Roman"/>
          <w:sz w:val="20"/>
          <w:szCs w:val="20"/>
          <w:lang w:eastAsia="it-IT"/>
        </w:rPr>
        <w:t xml:space="preserve">, </w:t>
      </w:r>
      <w:hyperlink r:id="rId69" w:history="1">
        <w:r w:rsidRPr="001D5695">
          <w:rPr>
            <w:rFonts w:ascii="Times" w:hAnsi="Times" w:cs="Times New Roman"/>
            <w:color w:val="0000FF"/>
            <w:sz w:val="20"/>
            <w:szCs w:val="20"/>
            <w:u w:val="single"/>
            <w:lang w:eastAsia="it-IT"/>
          </w:rPr>
          <w:t>600 bis</w:t>
        </w:r>
      </w:hyperlink>
      <w:r w:rsidRPr="001D5695">
        <w:rPr>
          <w:rFonts w:ascii="Times" w:hAnsi="Times" w:cs="Times New Roman"/>
          <w:sz w:val="20"/>
          <w:szCs w:val="20"/>
          <w:lang w:eastAsia="it-IT"/>
        </w:rPr>
        <w:t xml:space="preserve">, </w:t>
      </w:r>
      <w:hyperlink r:id="rId70" w:history="1">
        <w:r w:rsidRPr="001D5695">
          <w:rPr>
            <w:rFonts w:ascii="Times" w:hAnsi="Times" w:cs="Times New Roman"/>
            <w:color w:val="0000FF"/>
            <w:sz w:val="20"/>
            <w:szCs w:val="20"/>
            <w:u w:val="single"/>
            <w:lang w:eastAsia="it-IT"/>
          </w:rPr>
          <w:t>600 ter</w:t>
        </w:r>
      </w:hyperlink>
      <w:r w:rsidRPr="001D5695">
        <w:rPr>
          <w:rFonts w:ascii="Times" w:hAnsi="Times" w:cs="Times New Roman"/>
          <w:sz w:val="20"/>
          <w:szCs w:val="20"/>
          <w:lang w:eastAsia="it-IT"/>
        </w:rPr>
        <w:t xml:space="preserve">, anche se relativo al </w:t>
      </w:r>
      <w:hyperlink r:id="rId71" w:history="1">
        <w:r w:rsidRPr="001D5695">
          <w:rPr>
            <w:rFonts w:ascii="Times" w:hAnsi="Times" w:cs="Times New Roman"/>
            <w:color w:val="0000FF"/>
            <w:sz w:val="20"/>
            <w:szCs w:val="20"/>
            <w:u w:val="single"/>
            <w:lang w:eastAsia="it-IT"/>
          </w:rPr>
          <w:t>materiale pornografico</w:t>
        </w:r>
      </w:hyperlink>
      <w:r w:rsidRPr="001D5695">
        <w:rPr>
          <w:rFonts w:ascii="Times" w:hAnsi="Times" w:cs="Times New Roman"/>
          <w:sz w:val="20"/>
          <w:szCs w:val="20"/>
          <w:lang w:eastAsia="it-IT"/>
        </w:rPr>
        <w:t xml:space="preserve"> di cui all'articolo </w:t>
      </w:r>
      <w:hyperlink r:id="rId72" w:history="1">
        <w:r w:rsidRPr="001D5695">
          <w:rPr>
            <w:rFonts w:ascii="Times" w:hAnsi="Times" w:cs="Times New Roman"/>
            <w:color w:val="0000FF"/>
            <w:sz w:val="20"/>
            <w:szCs w:val="20"/>
            <w:u w:val="single"/>
            <w:lang w:eastAsia="it-IT"/>
          </w:rPr>
          <w:t>600 quater 1</w:t>
        </w:r>
      </w:hyperlink>
      <w:r w:rsidRPr="001D5695">
        <w:rPr>
          <w:rFonts w:ascii="Times" w:hAnsi="Times" w:cs="Times New Roman"/>
          <w:sz w:val="20"/>
          <w:szCs w:val="20"/>
          <w:lang w:eastAsia="it-IT"/>
        </w:rPr>
        <w:t xml:space="preserve">, </w:t>
      </w:r>
      <w:hyperlink r:id="rId73" w:history="1">
        <w:r w:rsidRPr="001D5695">
          <w:rPr>
            <w:rFonts w:ascii="Times" w:hAnsi="Times" w:cs="Times New Roman"/>
            <w:color w:val="0000FF"/>
            <w:sz w:val="20"/>
            <w:szCs w:val="20"/>
            <w:u w:val="single"/>
            <w:lang w:eastAsia="it-IT"/>
          </w:rPr>
          <w:t>600 quinquies</w:t>
        </w:r>
      </w:hyperlink>
      <w:r w:rsidRPr="001D5695">
        <w:rPr>
          <w:rFonts w:ascii="Times" w:hAnsi="Times" w:cs="Times New Roman"/>
          <w:sz w:val="20"/>
          <w:szCs w:val="20"/>
          <w:lang w:eastAsia="it-IT"/>
        </w:rPr>
        <w:t xml:space="preserve">, </w:t>
      </w:r>
      <w:hyperlink r:id="rId74" w:history="1">
        <w:r w:rsidRPr="001D5695">
          <w:rPr>
            <w:rFonts w:ascii="Times" w:hAnsi="Times" w:cs="Times New Roman"/>
            <w:color w:val="0000FF"/>
            <w:sz w:val="20"/>
            <w:szCs w:val="20"/>
            <w:u w:val="single"/>
            <w:lang w:eastAsia="it-IT"/>
          </w:rPr>
          <w:t>609 quater</w:t>
        </w:r>
      </w:hyperlink>
      <w:r w:rsidRPr="001D5695">
        <w:rPr>
          <w:rFonts w:ascii="Times" w:hAnsi="Times" w:cs="Times New Roman"/>
          <w:sz w:val="20"/>
          <w:szCs w:val="20"/>
          <w:lang w:eastAsia="it-IT"/>
        </w:rPr>
        <w:t xml:space="preserve">, </w:t>
      </w:r>
      <w:hyperlink r:id="rId75" w:history="1">
        <w:r w:rsidRPr="001D5695">
          <w:rPr>
            <w:rFonts w:ascii="Times" w:hAnsi="Times" w:cs="Times New Roman"/>
            <w:color w:val="0000FF"/>
            <w:sz w:val="20"/>
            <w:szCs w:val="20"/>
            <w:u w:val="single"/>
            <w:lang w:eastAsia="it-IT"/>
          </w:rPr>
          <w:t>609 quinquies</w:t>
        </w:r>
      </w:hyperlink>
      <w:r w:rsidRPr="001D5695">
        <w:rPr>
          <w:rFonts w:ascii="Times" w:hAnsi="Times" w:cs="Times New Roman"/>
          <w:sz w:val="20"/>
          <w:szCs w:val="20"/>
          <w:lang w:eastAsia="it-IT"/>
        </w:rPr>
        <w:t xml:space="preserve"> e </w:t>
      </w:r>
      <w:hyperlink r:id="rId76" w:history="1">
        <w:r w:rsidRPr="001D5695">
          <w:rPr>
            <w:rFonts w:ascii="Times" w:hAnsi="Times" w:cs="Times New Roman"/>
            <w:color w:val="0000FF"/>
            <w:sz w:val="20"/>
            <w:szCs w:val="20"/>
            <w:u w:val="single"/>
            <w:lang w:eastAsia="it-IT"/>
          </w:rPr>
          <w:t>609 undecies</w:t>
        </w:r>
      </w:hyperlink>
      <w:r w:rsidRPr="001D5695">
        <w:rPr>
          <w:rFonts w:ascii="Times" w:hAnsi="Times" w:cs="Times New Roman"/>
          <w:sz w:val="20"/>
          <w:szCs w:val="20"/>
          <w:lang w:eastAsia="it-IT"/>
        </w:rPr>
        <w:t xml:space="preserve"> del codice penale, nonché agli articoli </w:t>
      </w:r>
      <w:hyperlink r:id="rId77" w:history="1">
        <w:r w:rsidRPr="001D5695">
          <w:rPr>
            <w:rFonts w:ascii="Times" w:hAnsi="Times" w:cs="Times New Roman"/>
            <w:color w:val="0000FF"/>
            <w:sz w:val="20"/>
            <w:szCs w:val="20"/>
            <w:u w:val="single"/>
            <w:lang w:eastAsia="it-IT"/>
          </w:rPr>
          <w:t>609 bis</w:t>
        </w:r>
      </w:hyperlink>
      <w:r w:rsidRPr="001D5695">
        <w:rPr>
          <w:rFonts w:ascii="Times" w:hAnsi="Times" w:cs="Times New Roman"/>
          <w:sz w:val="20"/>
          <w:szCs w:val="20"/>
          <w:lang w:eastAsia="it-IT"/>
        </w:rPr>
        <w:t xml:space="preserve"> e </w:t>
      </w:r>
      <w:hyperlink r:id="rId78" w:history="1">
        <w:r w:rsidRPr="001D5695">
          <w:rPr>
            <w:rFonts w:ascii="Times" w:hAnsi="Times" w:cs="Times New Roman"/>
            <w:color w:val="0000FF"/>
            <w:sz w:val="20"/>
            <w:szCs w:val="20"/>
            <w:u w:val="single"/>
            <w:lang w:eastAsia="it-IT"/>
          </w:rPr>
          <w:t>609 octies</w:t>
        </w:r>
      </w:hyperlink>
      <w:r w:rsidRPr="001D5695">
        <w:rPr>
          <w:rFonts w:ascii="Times" w:hAnsi="Times" w:cs="Times New Roman"/>
          <w:sz w:val="20"/>
          <w:szCs w:val="20"/>
          <w:lang w:eastAsia="it-IT"/>
        </w:rPr>
        <w:t xml:space="preserve"> del medesimo codice, se commessi in danno di persona minorenne, il magistrato di sorveglianza o il tribunale di sorveglianza valuta la positiva partecipazione al programma di riabilitazione specifica di cui all'articolo </w:t>
      </w:r>
      <w:hyperlink r:id="rId79" w:history="1">
        <w:r w:rsidRPr="001D5695">
          <w:rPr>
            <w:rFonts w:ascii="Times" w:hAnsi="Times" w:cs="Times New Roman"/>
            <w:color w:val="0000FF"/>
            <w:sz w:val="20"/>
            <w:szCs w:val="20"/>
            <w:u w:val="single"/>
            <w:lang w:eastAsia="it-IT"/>
          </w:rPr>
          <w:t>13 bis</w:t>
        </w:r>
      </w:hyperlink>
      <w:r w:rsidRPr="001D5695">
        <w:rPr>
          <w:rFonts w:ascii="Times" w:hAnsi="Times" w:cs="Times New Roman"/>
          <w:sz w:val="20"/>
          <w:szCs w:val="20"/>
          <w:lang w:eastAsia="it-IT"/>
        </w:rPr>
        <w:t xml:space="preserve"> della presente legge</w:t>
      </w:r>
      <w:hyperlink r:id="rId80" w:anchor="nota_21209" w:history="1">
        <w:r w:rsidRPr="001D5695">
          <w:rPr>
            <w:rFonts w:ascii="Times" w:hAnsi="Times" w:cs="Times New Roman"/>
            <w:color w:val="0000FF"/>
            <w:sz w:val="20"/>
            <w:szCs w:val="20"/>
            <w:u w:val="single"/>
            <w:vertAlign w:val="superscript"/>
            <w:lang w:eastAsia="it-IT"/>
          </w:rPr>
          <w:t>(4)</w:t>
        </w:r>
      </w:hyperlink>
      <w:r w:rsidRPr="001D5695">
        <w:rPr>
          <w:rFonts w:ascii="Times" w:hAnsi="Times" w:cs="Times New Roman"/>
          <w:sz w:val="20"/>
          <w:szCs w:val="20"/>
          <w:lang w:eastAsia="it-IT"/>
        </w:rPr>
        <w:t>.</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 xml:space="preserve">2. Ai fini della concessione dei benefici di cui al comma 1 il magistrato di sorveglianza o il tribunale di sorveglianza decide acquisite dettagliate informazioni per il tramite del comitato provinciale per l'ordine e la </w:t>
      </w:r>
      <w:hyperlink r:id="rId81" w:history="1">
        <w:r w:rsidRPr="001D5695">
          <w:rPr>
            <w:rFonts w:ascii="Times" w:hAnsi="Times" w:cs="Times New Roman"/>
            <w:color w:val="0000FF"/>
            <w:sz w:val="20"/>
            <w:szCs w:val="20"/>
            <w:u w:val="single"/>
            <w:lang w:eastAsia="it-IT"/>
          </w:rPr>
          <w:t>sicurezza pubblica</w:t>
        </w:r>
      </w:hyperlink>
      <w:r w:rsidRPr="001D5695">
        <w:rPr>
          <w:rFonts w:ascii="Times" w:hAnsi="Times" w:cs="Times New Roman"/>
          <w:sz w:val="20"/>
          <w:szCs w:val="20"/>
          <w:lang w:eastAsia="it-IT"/>
        </w:rPr>
        <w:t xml:space="preserve"> competente in relazione al luogo di detenzione del condannato. In ogni caso il giudice decide trascorsi trenta giorni dalla richiesta delle informazioni. Al suddetto comitato provinciale può essere chiamato a partecipare il direttore dell'istituto penitenziario in cui il condannato è detenuto. Nei casi di cui ai commi 1-bis e 1-bis.1, il giudice acquisisce, anche al fine di verificare la fondatezza degli elementi offerti dall'istante, dettagliate informazioni in merito al perdurare dell'operatività del sodalizio criminale di appartenenza o del contesto criminale nel quale il reato è stato consumato, al profilo criminale del detenuto o dell'internato e alla sua posizione all'interno dell'associazione, alle eventuali nuove imputazioni o misure cautelari o di prevenzione sopravvenute a suo carico e, ove significative, alle infrazioni disciplinari commesse durante la detenzione. Il giudice chiede altresì il parere del </w:t>
      </w:r>
      <w:hyperlink r:id="rId82" w:history="1">
        <w:r w:rsidRPr="001D5695">
          <w:rPr>
            <w:rFonts w:ascii="Times" w:hAnsi="Times" w:cs="Times New Roman"/>
            <w:color w:val="0000FF"/>
            <w:sz w:val="20"/>
            <w:szCs w:val="20"/>
            <w:u w:val="single"/>
            <w:lang w:eastAsia="it-IT"/>
          </w:rPr>
          <w:t>pubblico ministero</w:t>
        </w:r>
      </w:hyperlink>
      <w:r w:rsidRPr="001D5695">
        <w:rPr>
          <w:rFonts w:ascii="Times" w:hAnsi="Times" w:cs="Times New Roman"/>
          <w:sz w:val="20"/>
          <w:szCs w:val="20"/>
          <w:lang w:eastAsia="it-IT"/>
        </w:rPr>
        <w:t xml:space="preserve"> presso il giudice che ha emesso la </w:t>
      </w:r>
      <w:hyperlink r:id="rId83" w:history="1">
        <w:r w:rsidRPr="001D5695">
          <w:rPr>
            <w:rFonts w:ascii="Times" w:hAnsi="Times" w:cs="Times New Roman"/>
            <w:color w:val="0000FF"/>
            <w:sz w:val="20"/>
            <w:szCs w:val="20"/>
            <w:u w:val="single"/>
            <w:lang w:eastAsia="it-IT"/>
          </w:rPr>
          <w:t>sentenza di primo grado</w:t>
        </w:r>
      </w:hyperlink>
      <w:r w:rsidRPr="001D5695">
        <w:rPr>
          <w:rFonts w:ascii="Times" w:hAnsi="Times" w:cs="Times New Roman"/>
          <w:sz w:val="20"/>
          <w:szCs w:val="20"/>
          <w:lang w:eastAsia="it-IT"/>
        </w:rPr>
        <w:t xml:space="preserve"> o, se si tratta di condanne per i delitti indicati all'articolo 51, commi 3-bis e 3-quater, del codice di procedura penale, del pubblico ministero presso il tribunale del capoluogo del distretto ove è stata pronunciata la sentenza di primo grado e del </w:t>
      </w:r>
      <w:hyperlink r:id="rId84" w:history="1">
        <w:r w:rsidRPr="001D5695">
          <w:rPr>
            <w:rFonts w:ascii="Times" w:hAnsi="Times" w:cs="Times New Roman"/>
            <w:color w:val="0000FF"/>
            <w:sz w:val="20"/>
            <w:szCs w:val="20"/>
            <w:u w:val="single"/>
            <w:lang w:eastAsia="it-IT"/>
          </w:rPr>
          <w:t>Procuratore nazionale antimafia</w:t>
        </w:r>
      </w:hyperlink>
      <w:r w:rsidRPr="001D5695">
        <w:rPr>
          <w:rFonts w:ascii="Times" w:hAnsi="Times" w:cs="Times New Roman"/>
          <w:sz w:val="20"/>
          <w:szCs w:val="20"/>
          <w:lang w:eastAsia="it-IT"/>
        </w:rPr>
        <w:t xml:space="preserve"> e antiterrorismo, acquisisce informazioni dalla direzione dell'istituto ove l'istante è detenuto o internato e dispone, nei confronti del medesimo, degli appartenenti al suo nucleo familiare e delle persone ad esso collegate, accertamenti in ordine alle condizioni reddituali e patrimoniali, al tenore di vita, alle attività economiche eventualmente svolte e alla pendenza o definitività di </w:t>
      </w:r>
      <w:hyperlink r:id="rId85" w:history="1">
        <w:r w:rsidRPr="001D5695">
          <w:rPr>
            <w:rFonts w:ascii="Times" w:hAnsi="Times" w:cs="Times New Roman"/>
            <w:color w:val="0000FF"/>
            <w:sz w:val="20"/>
            <w:szCs w:val="20"/>
            <w:u w:val="single"/>
            <w:lang w:eastAsia="it-IT"/>
          </w:rPr>
          <w:t>misure di prevenzione</w:t>
        </w:r>
      </w:hyperlink>
      <w:r w:rsidRPr="001D5695">
        <w:rPr>
          <w:rFonts w:ascii="Times" w:hAnsi="Times" w:cs="Times New Roman"/>
          <w:sz w:val="20"/>
          <w:szCs w:val="20"/>
          <w:lang w:eastAsia="it-IT"/>
        </w:rPr>
        <w:t xml:space="preserve"> personali o patrimoniali. I pareri, le informazioni e gli esiti degli accertamenti di cui al quinto periodo sono trasmessi entro sessanta giorni dalla richiesta. Il termine può essere prorogato di ulteriori trenta giorni in ragione della complessità degli accertamenti. Decorso il termine, il giudice decide anche in assenza dei pareri, delle informazioni e degli esiti degli accertamenti richiesti. Quando dall'istruttoria svolta emergono indizi dell'attuale sussistenza di collegamenti con la criminalità organizzata, terroristica o eversiva o con il contesto nel quale il reato è stato commesso, ovvero del pericolo di ripristino di tali collegamenti, è onere del condannato fornire, entro un congruo termine, idonei elementi di prova contraria. In ogni caso, nel provvedimento con cui decide sull'istanza di concessione dei benefici il giudice indica specificamente le ragioni dell'accoglimento o del rigetto dell'istanza medesima, tenuto conto dei pareri acquisiti ai sensi del quinto periodo. I benefici di cui al comma 1 possono essere concessi al detenuto o internato sottoposto a regime speciale di detenzione previsto dall'articolo 41-bis solamente dopo che il provvedimento applicativo di tale regime speciale sia stato revocato o non prorogato.</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2-bis. Nei casi di cui al comma 1-ter, il magistrato di sorveglianza o il tribunale di sorveglianza decide acquisite dettagliate informazioni dal questore. In ogni caso il giudice decide trascorsi trenta giorni dalla richiesta delle informazioni.</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2-bis.1. Le disposizioni di cui ai commi 2 e 2-bis non si applicano quando è richiesta la modifica del provvedimento di ammissione al lavoro all'esterno e non sono decorsi più di tre mesi dalla data in cui il provvedimento medesimo è divenuto esecutivo a norma dell'articolo 21, comma 4. Allo stesso modo si procede quando è richiesta la concessione di un permesso premio da parte di un condannato già ammesso a fruirne e non sono decorsi più di tre mesi dal provvedimento di concessione del primo permesso premio.</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 xml:space="preserve">2-ter. Alle udienze del tribunale di sorveglianza che abbiano ad oggetto la concessione dei benefici di cui al comma 1 ai condannati per i reati di cui all'articolo </w:t>
      </w:r>
      <w:hyperlink r:id="rId86" w:history="1">
        <w:r w:rsidRPr="001D5695">
          <w:rPr>
            <w:rFonts w:ascii="Times" w:hAnsi="Times" w:cs="Times New Roman"/>
            <w:color w:val="0000FF"/>
            <w:sz w:val="20"/>
            <w:szCs w:val="20"/>
            <w:u w:val="single"/>
            <w:lang w:eastAsia="it-IT"/>
          </w:rPr>
          <w:t>51</w:t>
        </w:r>
      </w:hyperlink>
      <w:r w:rsidRPr="001D5695">
        <w:rPr>
          <w:rFonts w:ascii="Times" w:hAnsi="Times" w:cs="Times New Roman"/>
          <w:sz w:val="20"/>
          <w:szCs w:val="20"/>
          <w:lang w:eastAsia="it-IT"/>
        </w:rPr>
        <w:t xml:space="preserve">, commi 3-bis e 3-quater, del codice di procedura penale, le funzioni di pubblico ministero possono essere svolte dal </w:t>
      </w:r>
      <w:hyperlink r:id="rId87" w:history="1">
        <w:r w:rsidRPr="001D5695">
          <w:rPr>
            <w:rFonts w:ascii="Times" w:hAnsi="Times" w:cs="Times New Roman"/>
            <w:color w:val="0000FF"/>
            <w:sz w:val="20"/>
            <w:szCs w:val="20"/>
            <w:u w:val="single"/>
            <w:lang w:eastAsia="it-IT"/>
          </w:rPr>
          <w:t>pubblico ministero</w:t>
        </w:r>
      </w:hyperlink>
      <w:r w:rsidRPr="001D5695">
        <w:rPr>
          <w:rFonts w:ascii="Times" w:hAnsi="Times" w:cs="Times New Roman"/>
          <w:sz w:val="20"/>
          <w:szCs w:val="20"/>
          <w:lang w:eastAsia="it-IT"/>
        </w:rPr>
        <w:t xml:space="preserve"> presso il tribunale del capoluogo del distretto ove è stata pronunciata la sentenza di primo grado. In tal caso, se ha sede in un distretto diverso, il pubblico ministero può partecipare all'udienza mediante collegamento a distanza.</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3. Quando il comitato ritiene che sussistano particolari esigenze di sicurezza ovvero che i collegamenti potrebbero essere mantenuti con organizzazioni operanti in ambiti non locali o extranazionali, ne dà comunicazione al giudice e il termine di cui al comma 2 è prorogato di ulteriori trenta giorni al fine di acquisire elementi ed informazioni da parte dei competenti organi centrali.</w:t>
      </w:r>
    </w:p>
    <w:p w:rsidR="001D5695" w:rsidRPr="001D5695" w:rsidRDefault="001D5695" w:rsidP="001D5695">
      <w:pPr>
        <w:spacing w:beforeLines="1" w:afterLines="1"/>
        <w:rPr>
          <w:rFonts w:ascii="Times" w:hAnsi="Times" w:cs="Times New Roman"/>
          <w:sz w:val="20"/>
          <w:szCs w:val="20"/>
          <w:lang w:eastAsia="it-IT"/>
        </w:rPr>
      </w:pPr>
      <w:r w:rsidRPr="001D5695">
        <w:rPr>
          <w:rFonts w:ascii="Times" w:hAnsi="Times" w:cs="Times New Roman"/>
          <w:sz w:val="20"/>
          <w:szCs w:val="20"/>
          <w:lang w:eastAsia="it-IT"/>
        </w:rPr>
        <w:t xml:space="preserve">3-bis. [L'assegnazione al lavoro all'esterno, i permessi premio e le misure alternative alla detenzione previste dal capo VI, non possono essere concessi ai detenuti ed internati per delitti dolosi quando il Procuratore nazionale antimafia o il procuratore distrettuale comunica, d'iniziativa o su segnalazione del comitato provinciale per l'ordine e la </w:t>
      </w:r>
      <w:hyperlink r:id="rId88" w:history="1">
        <w:r w:rsidRPr="001D5695">
          <w:rPr>
            <w:rFonts w:ascii="Times" w:hAnsi="Times" w:cs="Times New Roman"/>
            <w:color w:val="0000FF"/>
            <w:sz w:val="20"/>
            <w:szCs w:val="20"/>
            <w:u w:val="single"/>
            <w:lang w:eastAsia="it-IT"/>
          </w:rPr>
          <w:t>sicurezza pubblica</w:t>
        </w:r>
      </w:hyperlink>
      <w:r w:rsidRPr="001D5695">
        <w:rPr>
          <w:rFonts w:ascii="Times" w:hAnsi="Times" w:cs="Times New Roman"/>
          <w:sz w:val="20"/>
          <w:szCs w:val="20"/>
          <w:lang w:eastAsia="it-IT"/>
        </w:rPr>
        <w:t xml:space="preserve"> competente in relazione al luogo di detenzione o internamento, l'attualità di collegamenti con la criminalità organizzata. In tal caso si prescinde dalle procedure previste dai commi 2 e 3.]</w:t>
      </w:r>
      <w:hyperlink r:id="rId89" w:anchor="nota_24307" w:history="1">
        <w:r w:rsidRPr="001D5695">
          <w:rPr>
            <w:rFonts w:ascii="Times" w:hAnsi="Times" w:cs="Times New Roman"/>
            <w:color w:val="0000FF"/>
            <w:sz w:val="20"/>
            <w:szCs w:val="20"/>
            <w:u w:val="single"/>
            <w:vertAlign w:val="superscript"/>
            <w:lang w:eastAsia="it-IT"/>
          </w:rPr>
          <w:t>(5)</w:t>
        </w:r>
      </w:hyperlink>
    </w:p>
    <w:p w:rsidR="00A50EE1" w:rsidRDefault="001D5695" w:rsidP="001D5695">
      <w:pPr>
        <w:pStyle w:val="comma"/>
        <w:spacing w:before="2" w:after="2"/>
      </w:pPr>
    </w:p>
    <w:sectPr w:rsidR="00A50EE1" w:rsidSect="00A50EE1">
      <w:pgSz w:w="11900" w:h="16840"/>
      <w:pgMar w:top="1417" w:right="1134" w:bottom="1134" w:left="1134"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283"/>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95D57"/>
    <w:rsid w:val="001D5695"/>
    <w:rsid w:val="00495D57"/>
  </w:rsids>
  <m:mathPr>
    <m:mathFont m:val="Wingdings 2"/>
    <m:brkBin m:val="before"/>
    <m:brkBinSub m:val="--"/>
    <m:smallFrac m:val="off"/>
    <m:dispDef m:val="off"/>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B2DEC"/>
  </w:style>
  <w:style w:type="paragraph" w:styleId="Titolo1">
    <w:name w:val="heading 1"/>
    <w:basedOn w:val="Normale"/>
    <w:link w:val="Titolo1Carattere"/>
    <w:uiPriority w:val="9"/>
    <w:rsid w:val="00495D57"/>
    <w:pPr>
      <w:spacing w:beforeLines="1" w:afterLines="1"/>
      <w:outlineLvl w:val="0"/>
    </w:pPr>
    <w:rPr>
      <w:rFonts w:ascii="Times" w:hAnsi="Times"/>
      <w:b/>
      <w:kern w:val="36"/>
      <w:sz w:val="48"/>
      <w:szCs w:val="20"/>
      <w:lang w:eastAsia="it-IT"/>
    </w:rPr>
  </w:style>
  <w:style w:type="paragraph" w:styleId="Titolo2">
    <w:name w:val="heading 2"/>
    <w:basedOn w:val="Normale"/>
    <w:link w:val="Titolo2Carattere"/>
    <w:uiPriority w:val="9"/>
    <w:rsid w:val="00495D57"/>
    <w:pPr>
      <w:spacing w:beforeLines="1" w:afterLines="1"/>
      <w:outlineLvl w:val="1"/>
    </w:pPr>
    <w:rPr>
      <w:rFonts w:ascii="Times" w:hAnsi="Times"/>
      <w:b/>
      <w:sz w:val="36"/>
      <w:szCs w:val="20"/>
      <w:lang w:eastAsia="it-IT"/>
    </w:rPr>
  </w:style>
  <w:style w:type="paragraph" w:styleId="Titolo3">
    <w:name w:val="heading 3"/>
    <w:basedOn w:val="Normale"/>
    <w:link w:val="Titolo3Carattere"/>
    <w:uiPriority w:val="9"/>
    <w:rsid w:val="00495D57"/>
    <w:pPr>
      <w:spacing w:beforeLines="1" w:afterLines="1"/>
      <w:outlineLvl w:val="2"/>
    </w:pPr>
    <w:rPr>
      <w:rFonts w:ascii="Times" w:hAnsi="Times"/>
      <w:b/>
      <w:sz w:val="27"/>
      <w:szCs w:val="20"/>
      <w:lang w:eastAsia="it-IT"/>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paragraph" w:customStyle="1" w:styleId="comma">
    <w:name w:val="comma"/>
    <w:basedOn w:val="Normale"/>
    <w:rsid w:val="00495D57"/>
    <w:pPr>
      <w:spacing w:beforeLines="1" w:afterLines="1"/>
    </w:pPr>
    <w:rPr>
      <w:rFonts w:ascii="Times" w:hAnsi="Times"/>
      <w:sz w:val="20"/>
      <w:szCs w:val="20"/>
      <w:lang w:eastAsia="it-IT"/>
    </w:rPr>
  </w:style>
  <w:style w:type="character" w:styleId="Collegamentoipertestuale">
    <w:name w:val="Hyperlink"/>
    <w:basedOn w:val="Caratterepredefinitoparagrafo"/>
    <w:uiPriority w:val="99"/>
    <w:rsid w:val="00495D57"/>
    <w:rPr>
      <w:color w:val="0000FF"/>
      <w:u w:val="single"/>
    </w:rPr>
  </w:style>
  <w:style w:type="character" w:customStyle="1" w:styleId="Titolo1Carattere">
    <w:name w:val="Titolo 1 Carattere"/>
    <w:basedOn w:val="Caratterepredefinitoparagrafo"/>
    <w:link w:val="Titolo1"/>
    <w:uiPriority w:val="9"/>
    <w:rsid w:val="00495D57"/>
    <w:rPr>
      <w:rFonts w:ascii="Times" w:hAnsi="Times"/>
      <w:b/>
      <w:kern w:val="36"/>
      <w:sz w:val="48"/>
      <w:szCs w:val="20"/>
      <w:lang w:eastAsia="it-IT"/>
    </w:rPr>
  </w:style>
  <w:style w:type="character" w:customStyle="1" w:styleId="Titolo2Carattere">
    <w:name w:val="Titolo 2 Carattere"/>
    <w:basedOn w:val="Caratterepredefinitoparagrafo"/>
    <w:link w:val="Titolo2"/>
    <w:uiPriority w:val="9"/>
    <w:rsid w:val="00495D57"/>
    <w:rPr>
      <w:rFonts w:ascii="Times" w:hAnsi="Times"/>
      <w:b/>
      <w:sz w:val="36"/>
      <w:szCs w:val="20"/>
      <w:lang w:eastAsia="it-IT"/>
    </w:rPr>
  </w:style>
  <w:style w:type="character" w:customStyle="1" w:styleId="Titolo3Carattere">
    <w:name w:val="Titolo 3 Carattere"/>
    <w:basedOn w:val="Caratterepredefinitoparagrafo"/>
    <w:link w:val="Titolo3"/>
    <w:uiPriority w:val="9"/>
    <w:rsid w:val="00495D57"/>
    <w:rPr>
      <w:rFonts w:ascii="Times" w:hAnsi="Times"/>
      <w:b/>
      <w:sz w:val="27"/>
      <w:szCs w:val="20"/>
      <w:lang w:eastAsia="it-IT"/>
    </w:rPr>
  </w:style>
  <w:style w:type="character" w:styleId="Collegamentovisitato">
    <w:name w:val="FollowedHyperlink"/>
    <w:basedOn w:val="Caratterepredefinitoparagrafo"/>
    <w:uiPriority w:val="99"/>
    <w:rsid w:val="001D5695"/>
    <w:rPr>
      <w:color w:val="0000FF"/>
      <w:u w:val="single"/>
    </w:rPr>
  </w:style>
</w:styles>
</file>

<file path=word/webSettings.xml><?xml version="1.0" encoding="utf-8"?>
<w:webSettings xmlns:r="http://schemas.openxmlformats.org/officeDocument/2006/relationships" xmlns:w="http://schemas.openxmlformats.org/wordprocessingml/2006/main">
  <w:divs>
    <w:div w:id="907225430">
      <w:bodyDiv w:val="1"/>
      <w:marLeft w:val="0"/>
      <w:marRight w:val="0"/>
      <w:marTop w:val="0"/>
      <w:marBottom w:val="0"/>
      <w:divBdr>
        <w:top w:val="none" w:sz="0" w:space="0" w:color="auto"/>
        <w:left w:val="none" w:sz="0" w:space="0" w:color="auto"/>
        <w:bottom w:val="none" w:sz="0" w:space="0" w:color="auto"/>
        <w:right w:val="none" w:sz="0" w:space="0" w:color="auto"/>
      </w:divBdr>
      <w:divsChild>
        <w:div w:id="1921937317">
          <w:marLeft w:val="0"/>
          <w:marRight w:val="0"/>
          <w:marTop w:val="0"/>
          <w:marBottom w:val="0"/>
          <w:divBdr>
            <w:top w:val="none" w:sz="0" w:space="0" w:color="auto"/>
            <w:left w:val="none" w:sz="0" w:space="0" w:color="auto"/>
            <w:bottom w:val="none" w:sz="0" w:space="0" w:color="auto"/>
            <w:right w:val="none" w:sz="0" w:space="0" w:color="auto"/>
          </w:divBdr>
          <w:divsChild>
            <w:div w:id="40136839">
              <w:marLeft w:val="0"/>
              <w:marRight w:val="0"/>
              <w:marTop w:val="0"/>
              <w:marBottom w:val="0"/>
              <w:divBdr>
                <w:top w:val="none" w:sz="0" w:space="0" w:color="auto"/>
                <w:left w:val="none" w:sz="0" w:space="0" w:color="auto"/>
                <w:bottom w:val="none" w:sz="0" w:space="0" w:color="auto"/>
                <w:right w:val="none" w:sz="0" w:space="0" w:color="auto"/>
              </w:divBdr>
            </w:div>
            <w:div w:id="9005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557286">
      <w:bodyDiv w:val="1"/>
      <w:marLeft w:val="0"/>
      <w:marRight w:val="0"/>
      <w:marTop w:val="0"/>
      <w:marBottom w:val="0"/>
      <w:divBdr>
        <w:top w:val="none" w:sz="0" w:space="0" w:color="auto"/>
        <w:left w:val="none" w:sz="0" w:space="0" w:color="auto"/>
        <w:bottom w:val="none" w:sz="0" w:space="0" w:color="auto"/>
        <w:right w:val="none" w:sz="0" w:space="0" w:color="auto"/>
      </w:divBdr>
      <w:divsChild>
        <w:div w:id="765199288">
          <w:marLeft w:val="0"/>
          <w:marRight w:val="0"/>
          <w:marTop w:val="0"/>
          <w:marBottom w:val="0"/>
          <w:divBdr>
            <w:top w:val="none" w:sz="0" w:space="0" w:color="auto"/>
            <w:left w:val="none" w:sz="0" w:space="0" w:color="auto"/>
            <w:bottom w:val="none" w:sz="0" w:space="0" w:color="auto"/>
            <w:right w:val="none" w:sz="0" w:space="0" w:color="auto"/>
          </w:divBdr>
        </w:div>
      </w:divsChild>
    </w:div>
    <w:div w:id="1388723597">
      <w:bodyDiv w:val="1"/>
      <w:marLeft w:val="0"/>
      <w:marRight w:val="0"/>
      <w:marTop w:val="0"/>
      <w:marBottom w:val="0"/>
      <w:divBdr>
        <w:top w:val="none" w:sz="0" w:space="0" w:color="auto"/>
        <w:left w:val="none" w:sz="0" w:space="0" w:color="auto"/>
        <w:bottom w:val="none" w:sz="0" w:space="0" w:color="auto"/>
        <w:right w:val="none" w:sz="0" w:space="0" w:color="auto"/>
      </w:divBdr>
      <w:divsChild>
        <w:div w:id="1734503280">
          <w:marLeft w:val="0"/>
          <w:marRight w:val="0"/>
          <w:marTop w:val="0"/>
          <w:marBottom w:val="0"/>
          <w:divBdr>
            <w:top w:val="none" w:sz="0" w:space="0" w:color="auto"/>
            <w:left w:val="none" w:sz="0" w:space="0" w:color="auto"/>
            <w:bottom w:val="none" w:sz="0" w:space="0" w:color="auto"/>
            <w:right w:val="none" w:sz="0" w:space="0" w:color="auto"/>
          </w:divBdr>
        </w:div>
      </w:divsChild>
    </w:div>
    <w:div w:id="1417093074">
      <w:bodyDiv w:val="1"/>
      <w:marLeft w:val="0"/>
      <w:marRight w:val="0"/>
      <w:marTop w:val="0"/>
      <w:marBottom w:val="0"/>
      <w:divBdr>
        <w:top w:val="none" w:sz="0" w:space="0" w:color="auto"/>
        <w:left w:val="none" w:sz="0" w:space="0" w:color="auto"/>
        <w:bottom w:val="none" w:sz="0" w:space="0" w:color="auto"/>
        <w:right w:val="none" w:sz="0" w:space="0" w:color="auto"/>
      </w:divBdr>
      <w:divsChild>
        <w:div w:id="589898059">
          <w:marLeft w:val="0"/>
          <w:marRight w:val="0"/>
          <w:marTop w:val="0"/>
          <w:marBottom w:val="0"/>
          <w:divBdr>
            <w:top w:val="none" w:sz="0" w:space="0" w:color="auto"/>
            <w:left w:val="none" w:sz="0" w:space="0" w:color="auto"/>
            <w:bottom w:val="none" w:sz="0" w:space="0" w:color="auto"/>
            <w:right w:val="none" w:sz="0" w:space="0" w:color="auto"/>
          </w:divBdr>
          <w:divsChild>
            <w:div w:id="1565870461">
              <w:marLeft w:val="0"/>
              <w:marRight w:val="0"/>
              <w:marTop w:val="0"/>
              <w:marBottom w:val="0"/>
              <w:divBdr>
                <w:top w:val="none" w:sz="0" w:space="0" w:color="auto"/>
                <w:left w:val="none" w:sz="0" w:space="0" w:color="auto"/>
                <w:bottom w:val="none" w:sz="0" w:space="0" w:color="auto"/>
                <w:right w:val="none" w:sz="0" w:space="0" w:color="auto"/>
              </w:divBdr>
            </w:div>
            <w:div w:id="156856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s://www.brocardi.it/dizionario/5779.html" TargetMode="External"/><Relationship Id="rId5" Type="http://schemas.openxmlformats.org/officeDocument/2006/relationships/hyperlink" Target="https://www.brocardi.it/legge-ordinamento-penitenziario/titolo-i/capo-vi/art58ter.html" TargetMode="External"/><Relationship Id="rId6" Type="http://schemas.openxmlformats.org/officeDocument/2006/relationships/hyperlink" Target="https://www.brocardi.it/dizionario/391.html" TargetMode="External"/><Relationship Id="rId7" Type="http://schemas.openxmlformats.org/officeDocument/2006/relationships/hyperlink" Target="https://www.brocardi.it/dizionario/4661.html" TargetMode="External"/><Relationship Id="rId8" Type="http://schemas.openxmlformats.org/officeDocument/2006/relationships/hyperlink" Target="https://www.brocardi.it/dizionario/4658.html" TargetMode="External"/><Relationship Id="rId9" Type="http://schemas.openxmlformats.org/officeDocument/2006/relationships/hyperlink" Target="https://www.brocardi.it/codice-penale/libro-secondo/titolo-v/art416bis.html" TargetMode="External"/><Relationship Id="rId10" Type="http://schemas.openxmlformats.org/officeDocument/2006/relationships/hyperlink" Target="https://www.brocardi.it/codice-penale/libro-secondo/titolo-v/art416ter.html" TargetMode="External"/><Relationship Id="rId11" Type="http://schemas.openxmlformats.org/officeDocument/2006/relationships/hyperlink" Target="https://www.brocardi.it/codice-penale/libro-secondo/titolo-xii/capo-iii/sezione-i/art600.html" TargetMode="External"/><Relationship Id="rId12" Type="http://schemas.openxmlformats.org/officeDocument/2006/relationships/hyperlink" Target="https://www.brocardi.it/codice-penale/libro-secondo/titolo-xii/capo-iii/sezione-i/art600bis.html" TargetMode="External"/><Relationship Id="rId13" Type="http://schemas.openxmlformats.org/officeDocument/2006/relationships/hyperlink" Target="https://www.brocardi.it/codice-penale/libro-secondo/titolo-xii/capo-iii/sezione-i/art600ter.html" TargetMode="External"/><Relationship Id="rId14" Type="http://schemas.openxmlformats.org/officeDocument/2006/relationships/hyperlink" Target="https://www.brocardi.it/codice-penale/libro-secondo/titolo-xii/capo-iii/sezione-i/art601.html" TargetMode="External"/><Relationship Id="rId15" Type="http://schemas.openxmlformats.org/officeDocument/2006/relationships/hyperlink" Target="https://www.brocardi.it/codice-penale/libro-secondo/titolo-xii/capo-iii/sezione-i/art602.html" TargetMode="External"/><Relationship Id="rId16" Type="http://schemas.openxmlformats.org/officeDocument/2006/relationships/hyperlink" Target="https://www.brocardi.it/codice-penale/libro-secondo/titolo-xii/capo-iii/sezione-ii/art609octies.html" TargetMode="External"/><Relationship Id="rId17" Type="http://schemas.openxmlformats.org/officeDocument/2006/relationships/hyperlink" Target="https://www.brocardi.it/codice-penale/libro-secondo/titolo-xiii/capo-i/art630.html" TargetMode="External"/><Relationship Id="rId18" Type="http://schemas.openxmlformats.org/officeDocument/2006/relationships/hyperlink" Target="https://www.brocardi.it/testo-unico-immigrazione/titolo-ii/capo-ii/art12.html" TargetMode="External"/><Relationship Id="rId19" Type="http://schemas.openxmlformats.org/officeDocument/2006/relationships/hyperlink" Target="https://www.brocardi.it/testo-unico-immigrazione/titolo-ii/capo-ii/art12bis.html" TargetMode="External"/><Relationship Id="rId30" Type="http://schemas.openxmlformats.org/officeDocument/2006/relationships/hyperlink" Target="https://www.brocardi.it/testo-unico-immigrazione/titolo-ii/capo-ii/art12bis.html" TargetMode="External"/><Relationship Id="rId31" Type="http://schemas.openxmlformats.org/officeDocument/2006/relationships/hyperlink" Target="https://www.brocardi.it/testo-unico-stupefacenti/titolo-viii/capo-i/art74.html" TargetMode="External"/><Relationship Id="rId32" Type="http://schemas.openxmlformats.org/officeDocument/2006/relationships/hyperlink" Target="https://www.brocardi.it/legge-ordinamento-penitenziario/titolo-i/capo-i/art4bis.html" TargetMode="External"/><Relationship Id="rId33" Type="http://schemas.openxmlformats.org/officeDocument/2006/relationships/hyperlink" Target="https://www.brocardi.it/codice-penale/libro-secondo/titolo-xii/capo-iii/sezione-i/art600.html" TargetMode="External"/><Relationship Id="rId34" Type="http://schemas.openxmlformats.org/officeDocument/2006/relationships/hyperlink" Target="https://www.brocardi.it/codice-penale/libro-secondo/titolo-xii/capo-iii/sezione-i/art600bis.html" TargetMode="External"/><Relationship Id="rId35" Type="http://schemas.openxmlformats.org/officeDocument/2006/relationships/hyperlink" Target="https://www.brocardi.it/codice-penale/libro-secondo/titolo-xii/capo-iii/sezione-i/art600ter.html" TargetMode="External"/><Relationship Id="rId36" Type="http://schemas.openxmlformats.org/officeDocument/2006/relationships/hyperlink" Target="https://www.brocardi.it/codice-penale/libro-secondo/titolo-xii/capo-iii/sezione-i/art601.html" TargetMode="External"/><Relationship Id="rId37" Type="http://schemas.openxmlformats.org/officeDocument/2006/relationships/hyperlink" Target="https://www.brocardi.it/codice-penale/libro-secondo/titolo-xii/capo-iii/sezione-i/art602.html" TargetMode="External"/><Relationship Id="rId38" Type="http://schemas.openxmlformats.org/officeDocument/2006/relationships/hyperlink" Target="https://www.brocardi.it/codice-penale/libro-secondo/titolo-xii/capo-iii/sezione-ii/art609octies.html" TargetMode="External"/><Relationship Id="rId39" Type="http://schemas.openxmlformats.org/officeDocument/2006/relationships/hyperlink" Target="https://www.brocardi.it/codice-penale/libro-secondo/titolo-xiii/capo-i/art630.html" TargetMode="External"/><Relationship Id="rId50" Type="http://schemas.openxmlformats.org/officeDocument/2006/relationships/hyperlink" Target="https://www.brocardi.it/codice-penale/libro-secondo/titolo-v/art416.html" TargetMode="External"/><Relationship Id="rId51" Type="http://schemas.openxmlformats.org/officeDocument/2006/relationships/hyperlink" Target="https://www.brocardi.it/codice-penale/libro-secondo/titolo-xii/capo-iii/sezione-ii/art609bis.html" TargetMode="External"/><Relationship Id="rId52" Type="http://schemas.openxmlformats.org/officeDocument/2006/relationships/hyperlink" Target="https://www.brocardi.it/codice-penale/libro-secondo/titolo-xii/capo-iii/sezione-ii/art609quater.html" TargetMode="External"/><Relationship Id="rId53" Type="http://schemas.openxmlformats.org/officeDocument/2006/relationships/hyperlink" Target="https://www.brocardi.it/codice-penale/libro-secondo/titolo-xii/capo-iii/sezione-ii/art609octies.html" TargetMode="External"/><Relationship Id="rId54" Type="http://schemas.openxmlformats.org/officeDocument/2006/relationships/hyperlink" Target="https://www.brocardi.it/codice-penale/libro-secondo/titolo-xii/capo-i/art583quinquies.html" TargetMode="External"/><Relationship Id="rId55" Type="http://schemas.openxmlformats.org/officeDocument/2006/relationships/hyperlink" Target="https://www.brocardi.it/codice-penale/libro-secondo/titolo-xii/capo-iii/sezione-i/art600bis.html" TargetMode="External"/><Relationship Id="rId56" Type="http://schemas.openxmlformats.org/officeDocument/2006/relationships/hyperlink" Target="https://www.brocardi.it/codice-penale/libro-secondo/titolo-xii/capo-iii/sezione-i/art600ter.html" TargetMode="External"/><Relationship Id="rId57" Type="http://schemas.openxmlformats.org/officeDocument/2006/relationships/hyperlink" Target="https://www.brocardi.it/codice-penale/libro-secondo/titolo-xii/capo-iii/sezione-i/art600quater.html" TargetMode="External"/><Relationship Id="rId58" Type="http://schemas.openxmlformats.org/officeDocument/2006/relationships/hyperlink" Target="https://www.brocardi.it/codice-penale/libro-secondo/titolo-xii/capo-iii/sezione-i/art600quinquies.html" TargetMode="External"/><Relationship Id="rId59" Type="http://schemas.openxmlformats.org/officeDocument/2006/relationships/hyperlink" Target="https://www.brocardi.it/codice-penale/libro-secondo/titolo-xii/capo-iii/sezione-ii/art609bis.html" TargetMode="External"/><Relationship Id="rId70" Type="http://schemas.openxmlformats.org/officeDocument/2006/relationships/hyperlink" Target="https://www.brocardi.it/codice-penale/libro-secondo/titolo-xii/capo-iii/sezione-i/art600ter.html" TargetMode="External"/><Relationship Id="rId71" Type="http://schemas.openxmlformats.org/officeDocument/2006/relationships/hyperlink" Target="https://www.brocardi.it/dizionario/5256.html" TargetMode="External"/><Relationship Id="rId72" Type="http://schemas.openxmlformats.org/officeDocument/2006/relationships/hyperlink" Target="https://www.brocardi.it/codice-penale/libro-secondo/titolo-xii/capo-iii/sezione-i/art600quater1.html" TargetMode="External"/><Relationship Id="rId73" Type="http://schemas.openxmlformats.org/officeDocument/2006/relationships/hyperlink" Target="https://www.brocardi.it/codice-penale/libro-secondo/titolo-xii/capo-iii/sezione-i/art600quinquies.html" TargetMode="External"/><Relationship Id="rId74" Type="http://schemas.openxmlformats.org/officeDocument/2006/relationships/hyperlink" Target="https://www.brocardi.it/codice-penale/libro-secondo/titolo-xii/capo-iii/sezione-ii/art609quater.html" TargetMode="External"/><Relationship Id="rId75" Type="http://schemas.openxmlformats.org/officeDocument/2006/relationships/hyperlink" Target="https://www.brocardi.it/codice-penale/libro-secondo/titolo-xii/capo-iii/sezione-ii/art609quinquies.html" TargetMode="External"/><Relationship Id="rId76" Type="http://schemas.openxmlformats.org/officeDocument/2006/relationships/hyperlink" Target="https://www.brocardi.it/codice-penale/libro-secondo/titolo-xii/capo-iii/sezione-ii/art609undecies.html" TargetMode="External"/><Relationship Id="rId77" Type="http://schemas.openxmlformats.org/officeDocument/2006/relationships/hyperlink" Target="https://www.brocardi.it/codice-penale/libro-secondo/titolo-xii/capo-iii/sezione-ii/art609bis.html" TargetMode="External"/><Relationship Id="rId78" Type="http://schemas.openxmlformats.org/officeDocument/2006/relationships/hyperlink" Target="https://www.brocardi.it/codice-penale/libro-secondo/titolo-xii/capo-iii/sezione-ii/art609octies.html" TargetMode="External"/><Relationship Id="rId79" Type="http://schemas.openxmlformats.org/officeDocument/2006/relationships/hyperlink" Target="https://www.brocardi.it/legge-ordinamento-penitenziario/titolo-i/capo-iii/art13bis.html" TargetMode="External"/><Relationship Id="rId90" Type="http://schemas.openxmlformats.org/officeDocument/2006/relationships/fontTable" Target="fontTable.xml"/><Relationship Id="rId91" Type="http://schemas.openxmlformats.org/officeDocument/2006/relationships/theme" Target="theme/theme1.xml"/><Relationship Id="rId20" Type="http://schemas.openxmlformats.org/officeDocument/2006/relationships/hyperlink" Target="https://www.brocardi.it/dizionario/4589.html" TargetMode="External"/><Relationship Id="rId21" Type="http://schemas.openxmlformats.org/officeDocument/2006/relationships/hyperlink" Target="https://www.brocardi.it/dizionario/5690.html" TargetMode="External"/><Relationship Id="rId22" Type="http://schemas.openxmlformats.org/officeDocument/2006/relationships/hyperlink" Target="https://www.brocardi.it/dizionario/5690.html" TargetMode="External"/><Relationship Id="rId23" Type="http://schemas.openxmlformats.org/officeDocument/2006/relationships/hyperlink" Target="https://www.brocardi.it/legge-ordinamento-penitenziario/titolo-i/capo-i/art4bis.html" TargetMode="External"/><Relationship Id="rId24" Type="http://schemas.openxmlformats.org/officeDocument/2006/relationships/hyperlink" Target="https://www.brocardi.it/legge-ordinamento-penitenziario/titolo-i/capo-i/art4bis.html" TargetMode="External"/><Relationship Id="rId25" Type="http://schemas.openxmlformats.org/officeDocument/2006/relationships/hyperlink" Target="https://www.brocardi.it/legge-ordinamento-penitenziario/titolo-i/capo-i/art4bis.html" TargetMode="External"/><Relationship Id="rId26" Type="http://schemas.openxmlformats.org/officeDocument/2006/relationships/hyperlink" Target="https://www.brocardi.it/legge-ordinamento-penitenziario/titolo-i/capo-vi/art58ter.html" TargetMode="External"/><Relationship Id="rId27" Type="http://schemas.openxmlformats.org/officeDocument/2006/relationships/hyperlink" Target="https://www.brocardi.it/codice-penale/libro-secondo/titolo-v/art416bis.html" TargetMode="External"/><Relationship Id="rId28" Type="http://schemas.openxmlformats.org/officeDocument/2006/relationships/hyperlink" Target="https://www.brocardi.it/codice-penale/libro-secondo/titolo-v/art416ter.html" TargetMode="External"/><Relationship Id="rId29" Type="http://schemas.openxmlformats.org/officeDocument/2006/relationships/hyperlink" Target="https://www.brocardi.it/testo-unico-immigrazione/titolo-ii/capo-ii/art12.html" TargetMode="External"/><Relationship Id="rId40" Type="http://schemas.openxmlformats.org/officeDocument/2006/relationships/hyperlink" Target="https://www.brocardi.it/codice-penale/libro-secondo/titolo-v/art416.html" TargetMode="External"/><Relationship Id="rId41" Type="http://schemas.openxmlformats.org/officeDocument/2006/relationships/hyperlink" Target="https://www.brocardi.it/codice-penale/libro-secondo/titolo-xii/capo-i/art575.html" TargetMode="External"/><Relationship Id="rId42" Type="http://schemas.openxmlformats.org/officeDocument/2006/relationships/hyperlink" Target="https://www.brocardi.it/codice-penale/libro-secondo/titolo-xii/capo-iii/sezione-i/art600bis.html" TargetMode="External"/><Relationship Id="rId43" Type="http://schemas.openxmlformats.org/officeDocument/2006/relationships/hyperlink" Target="https://www.brocardi.it/codice-penale/libro-secondo/titolo-xii/capo-iii/sezione-i/art600ter.html" TargetMode="External"/><Relationship Id="rId44" Type="http://schemas.openxmlformats.org/officeDocument/2006/relationships/hyperlink" Target="https://www.brocardi.it/codice-penale/libro-secondo/titolo-xii/capo-iii/sezione-i/art600quinquies.html" TargetMode="External"/><Relationship Id="rId45" Type="http://schemas.openxmlformats.org/officeDocument/2006/relationships/hyperlink" Target="https://www.brocardi.it/codice-penale/libro-secondo/titolo-xiii/capo-i/art628.html" TargetMode="External"/><Relationship Id="rId46" Type="http://schemas.openxmlformats.org/officeDocument/2006/relationships/hyperlink" Target="https://www.brocardi.it/codice-penale/libro-secondo/titolo-xiii/capo-i/art629.html" TargetMode="External"/><Relationship Id="rId47" Type="http://schemas.openxmlformats.org/officeDocument/2006/relationships/hyperlink" Target="https://www.brocardi.it/codice-penale/libro-secondo/titolo-v/art416.html" TargetMode="External"/><Relationship Id="rId48" Type="http://schemas.openxmlformats.org/officeDocument/2006/relationships/hyperlink" Target="https://www.brocardi.it/codice-penale/libro-secondo/titolo-vii/capo-ii/art473.html" TargetMode="External"/><Relationship Id="rId49" Type="http://schemas.openxmlformats.org/officeDocument/2006/relationships/hyperlink" Target="https://www.brocardi.it/codice-penale/libro-secondo/titolo-vii/capo-ii/art474.html" TargetMode="External"/><Relationship Id="rId60" Type="http://schemas.openxmlformats.org/officeDocument/2006/relationships/hyperlink" Target="https://www.brocardi.it/codice-penale/libro-secondo/titolo-xii/capo-iii/sezione-ii/art609ter.html" TargetMode="External"/><Relationship Id="rId61" Type="http://schemas.openxmlformats.org/officeDocument/2006/relationships/hyperlink" Target="https://www.brocardi.it/codice-penale/libro-secondo/titolo-xii/capo-iii/sezione-ii/art609quater.html" TargetMode="External"/><Relationship Id="rId62" Type="http://schemas.openxmlformats.org/officeDocument/2006/relationships/hyperlink" Target="https://www.brocardi.it/codice-penale/libro-secondo/titolo-xii/capo-iii/sezione-ii/art609quinquies.html" TargetMode="External"/><Relationship Id="rId63" Type="http://schemas.openxmlformats.org/officeDocument/2006/relationships/hyperlink" Target="https://www.brocardi.it/codice-penale/libro-secondo/titolo-xii/capo-iii/sezione-ii/art609octies.html" TargetMode="External"/><Relationship Id="rId64" Type="http://schemas.openxmlformats.org/officeDocument/2006/relationships/hyperlink" Target="https://www.brocardi.it/codice-penale/libro-secondo/titolo-xii/capo-iii/sezione-ii/art609undecies.html" TargetMode="External"/><Relationship Id="rId65" Type="http://schemas.openxmlformats.org/officeDocument/2006/relationships/hyperlink" Target="https://www.brocardi.it/legge-ordinamento-penitenziario/titolo-ii/capo-iv/art80.html" TargetMode="External"/><Relationship Id="rId66" Type="http://schemas.openxmlformats.org/officeDocument/2006/relationships/hyperlink" Target="https://www.brocardi.it/codice-penale/libro-secondo/titolo-xii/capo-iii/sezione-ii/art609bis.html" TargetMode="External"/><Relationship Id="rId67" Type="http://schemas.openxmlformats.org/officeDocument/2006/relationships/hyperlink" Target="https://www.brocardi.it/legge-ordinamento-penitenziario/titolo-i/capo-i/art4bis.html" TargetMode="External"/><Relationship Id="rId68" Type="http://schemas.openxmlformats.org/officeDocument/2006/relationships/hyperlink" Target="https://www.brocardi.it/codice-penale/libro-secondo/titolo-xii/capo-i/art583quinquies.html" TargetMode="External"/><Relationship Id="rId69" Type="http://schemas.openxmlformats.org/officeDocument/2006/relationships/hyperlink" Target="https://www.brocardi.it/codice-penale/libro-secondo/titolo-xii/capo-iii/sezione-i/art600bis.html" TargetMode="External"/><Relationship Id="rId80" Type="http://schemas.openxmlformats.org/officeDocument/2006/relationships/hyperlink" Target="https://www.brocardi.it/legge-ordinamento-penitenziario/titolo-i/capo-i/art4bis.html" TargetMode="External"/><Relationship Id="rId81" Type="http://schemas.openxmlformats.org/officeDocument/2006/relationships/hyperlink" Target="https://www.brocardi.it/dizionario/4665.html" TargetMode="External"/><Relationship Id="rId82" Type="http://schemas.openxmlformats.org/officeDocument/2006/relationships/hyperlink" Target="https://www.brocardi.it/dizionario/3695.html" TargetMode="External"/><Relationship Id="rId83" Type="http://schemas.openxmlformats.org/officeDocument/2006/relationships/hyperlink" Target="https://www.brocardi.it/dizionario/3873.html" TargetMode="External"/><Relationship Id="rId84" Type="http://schemas.openxmlformats.org/officeDocument/2006/relationships/hyperlink" Target="https://www.brocardi.it/dizionario/5840.html" TargetMode="External"/><Relationship Id="rId85" Type="http://schemas.openxmlformats.org/officeDocument/2006/relationships/hyperlink" Target="https://www.brocardi.it/dizionario/4516.html" TargetMode="External"/><Relationship Id="rId86" Type="http://schemas.openxmlformats.org/officeDocument/2006/relationships/hyperlink" Target="https://www.brocardi.it/codice-di-procedura-penale/libro-primo/titolo-ii/art51.html" TargetMode="External"/><Relationship Id="rId87" Type="http://schemas.openxmlformats.org/officeDocument/2006/relationships/hyperlink" Target="https://www.brocardi.it/dizionario/3695.html" TargetMode="External"/><Relationship Id="rId88" Type="http://schemas.openxmlformats.org/officeDocument/2006/relationships/hyperlink" Target="https://www.brocardi.it/dizionario/4665.html" TargetMode="External"/><Relationship Id="rId89" Type="http://schemas.openxmlformats.org/officeDocument/2006/relationships/hyperlink" Target="https://www.brocardi.it/legge-ordinamento-penitenziario/titolo-i/capo-i/art4bi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3369</Words>
  <Characters>19206</Characters>
  <Application>Microsoft Macintosh Word</Application>
  <DocSecurity>0</DocSecurity>
  <Lines>160</Lines>
  <Paragraphs>38</Paragraphs>
  <ScaleCrop>false</ScaleCrop>
  <Company>...</Company>
  <LinksUpToDate>false</LinksUpToDate>
  <CharactersWithSpaces>23586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 Chiuchiolo</dc:creator>
  <cp:keywords/>
  <cp:lastModifiedBy>Massimiliano Chiuchiolo</cp:lastModifiedBy>
  <cp:revision>2</cp:revision>
  <dcterms:created xsi:type="dcterms:W3CDTF">2025-05-06T11:35:00Z</dcterms:created>
  <dcterms:modified xsi:type="dcterms:W3CDTF">2025-05-06T11:35:00Z</dcterms:modified>
</cp:coreProperties>
</file>